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02B" w:rsidRPr="001041CB" w:rsidRDefault="0070502B">
      <w:pPr>
        <w:jc w:val="center"/>
        <w:rPr>
          <w:rFonts w:asciiTheme="minorHAnsi" w:hAnsiTheme="minorHAnsi"/>
          <w:b/>
          <w:bCs/>
          <w:sz w:val="32"/>
          <w:szCs w:val="32"/>
        </w:rPr>
      </w:pPr>
      <w:r w:rsidRPr="001041CB">
        <w:rPr>
          <w:rFonts w:asciiTheme="minorHAnsi" w:hAnsiTheme="minorHAnsi"/>
          <w:b/>
          <w:bCs/>
          <w:sz w:val="32"/>
          <w:szCs w:val="32"/>
        </w:rPr>
        <w:t xml:space="preserve">Middle Tennessee </w:t>
      </w:r>
      <w:r w:rsidR="00A07B8D" w:rsidRPr="001041CB">
        <w:rPr>
          <w:rFonts w:asciiTheme="minorHAnsi" w:hAnsiTheme="minorHAnsi"/>
          <w:b/>
          <w:bCs/>
          <w:sz w:val="32"/>
          <w:szCs w:val="32"/>
        </w:rPr>
        <w:t xml:space="preserve">Consumer </w:t>
      </w:r>
      <w:r w:rsidR="002432C1" w:rsidRPr="001041CB">
        <w:rPr>
          <w:rFonts w:asciiTheme="minorHAnsi" w:hAnsiTheme="minorHAnsi"/>
          <w:b/>
          <w:bCs/>
          <w:sz w:val="32"/>
          <w:szCs w:val="32"/>
        </w:rPr>
        <w:t>O</w:t>
      </w:r>
      <w:r w:rsidR="00A07B8D" w:rsidRPr="001041CB">
        <w:rPr>
          <w:rFonts w:asciiTheme="minorHAnsi" w:hAnsiTheme="minorHAnsi"/>
          <w:b/>
          <w:bCs/>
          <w:sz w:val="32"/>
          <w:szCs w:val="32"/>
        </w:rPr>
        <w:t xml:space="preserve">utlook </w:t>
      </w:r>
      <w:r w:rsidR="00140EF4" w:rsidRPr="001041CB">
        <w:rPr>
          <w:rFonts w:asciiTheme="minorHAnsi" w:hAnsiTheme="minorHAnsi"/>
          <w:b/>
          <w:bCs/>
          <w:sz w:val="32"/>
          <w:szCs w:val="32"/>
        </w:rPr>
        <w:t>I</w:t>
      </w:r>
      <w:r w:rsidR="00A07B8D" w:rsidRPr="001041CB">
        <w:rPr>
          <w:rFonts w:asciiTheme="minorHAnsi" w:hAnsiTheme="minorHAnsi"/>
          <w:b/>
          <w:bCs/>
          <w:sz w:val="32"/>
          <w:szCs w:val="32"/>
        </w:rPr>
        <w:t>ndex</w:t>
      </w:r>
      <w:r w:rsidRPr="001041CB">
        <w:rPr>
          <w:rFonts w:asciiTheme="minorHAnsi" w:hAnsiTheme="minorHAnsi"/>
          <w:b/>
          <w:bCs/>
          <w:sz w:val="32"/>
          <w:szCs w:val="32"/>
        </w:rPr>
        <w:t xml:space="preserve"> </w:t>
      </w:r>
    </w:p>
    <w:p w:rsidR="0070502B" w:rsidRPr="00A16353" w:rsidRDefault="00140EF4" w:rsidP="000D09DE">
      <w:pPr>
        <w:tabs>
          <w:tab w:val="left" w:pos="0"/>
        </w:tabs>
        <w:jc w:val="center"/>
        <w:rPr>
          <w:rFonts w:asciiTheme="minorHAnsi" w:hAnsiTheme="minorHAnsi"/>
          <w:bCs/>
          <w:sz w:val="36"/>
        </w:rPr>
      </w:pPr>
      <w:r>
        <w:rPr>
          <w:rFonts w:asciiTheme="minorHAnsi" w:hAnsiTheme="minorHAnsi"/>
          <w:bCs/>
          <w:sz w:val="28"/>
        </w:rPr>
        <w:t>April 2</w:t>
      </w:r>
      <w:r w:rsidR="00B131EA">
        <w:rPr>
          <w:rFonts w:asciiTheme="minorHAnsi" w:hAnsiTheme="minorHAnsi"/>
          <w:bCs/>
          <w:sz w:val="28"/>
        </w:rPr>
        <w:t>6</w:t>
      </w:r>
      <w:r>
        <w:rPr>
          <w:rFonts w:asciiTheme="minorHAnsi" w:hAnsiTheme="minorHAnsi"/>
          <w:bCs/>
          <w:sz w:val="28"/>
        </w:rPr>
        <w:t xml:space="preserve">, </w:t>
      </w:r>
      <w:r w:rsidR="00106BB1" w:rsidRPr="00A16353">
        <w:rPr>
          <w:rFonts w:asciiTheme="minorHAnsi" w:hAnsiTheme="minorHAnsi"/>
          <w:bCs/>
          <w:sz w:val="28"/>
        </w:rPr>
        <w:t>20</w:t>
      </w:r>
      <w:r w:rsidR="00FC5846" w:rsidRPr="00A16353">
        <w:rPr>
          <w:rFonts w:asciiTheme="minorHAnsi" w:hAnsiTheme="minorHAnsi"/>
          <w:bCs/>
          <w:sz w:val="28"/>
        </w:rPr>
        <w:t>1</w:t>
      </w:r>
      <w:r w:rsidR="0022136E">
        <w:rPr>
          <w:rFonts w:asciiTheme="minorHAnsi" w:hAnsiTheme="minorHAnsi"/>
          <w:bCs/>
          <w:sz w:val="28"/>
        </w:rPr>
        <w:t>2</w:t>
      </w:r>
    </w:p>
    <w:p w:rsidR="0070502B" w:rsidRPr="00A16353" w:rsidRDefault="0070502B">
      <w:pPr>
        <w:rPr>
          <w:rFonts w:asciiTheme="minorHAnsi" w:hAnsiTheme="minorHAnsi"/>
        </w:rPr>
      </w:pPr>
    </w:p>
    <w:p w:rsidR="0070502B" w:rsidRPr="00510399" w:rsidRDefault="0070502B">
      <w:pPr>
        <w:jc w:val="center"/>
        <w:rPr>
          <w:rFonts w:asciiTheme="minorHAnsi" w:hAnsiTheme="minorHAnsi"/>
          <w:b/>
          <w:bCs/>
          <w:sz w:val="28"/>
        </w:rPr>
      </w:pPr>
      <w:r w:rsidRPr="00510399">
        <w:rPr>
          <w:rFonts w:asciiTheme="minorHAnsi" w:hAnsiTheme="minorHAnsi"/>
          <w:b/>
          <w:bCs/>
          <w:sz w:val="28"/>
        </w:rPr>
        <w:t>The Office of Consumer Research</w:t>
      </w:r>
    </w:p>
    <w:p w:rsidR="0070502B" w:rsidRPr="00510399" w:rsidRDefault="0070502B">
      <w:pPr>
        <w:jc w:val="center"/>
        <w:rPr>
          <w:rFonts w:asciiTheme="minorHAnsi" w:hAnsiTheme="minorHAnsi"/>
          <w:bCs/>
          <w:sz w:val="22"/>
          <w:szCs w:val="22"/>
        </w:rPr>
      </w:pPr>
      <w:proofErr w:type="gramStart"/>
      <w:r w:rsidRPr="00510399">
        <w:rPr>
          <w:rFonts w:asciiTheme="minorHAnsi" w:hAnsiTheme="minorHAnsi"/>
          <w:bCs/>
          <w:sz w:val="22"/>
          <w:szCs w:val="22"/>
        </w:rPr>
        <w:t>at</w:t>
      </w:r>
      <w:proofErr w:type="gramEnd"/>
      <w:r w:rsidRPr="00510399">
        <w:rPr>
          <w:rFonts w:asciiTheme="minorHAnsi" w:hAnsiTheme="minorHAnsi"/>
          <w:bCs/>
          <w:sz w:val="22"/>
          <w:szCs w:val="22"/>
        </w:rPr>
        <w:t xml:space="preserve"> Middle Tennessee State University</w:t>
      </w:r>
    </w:p>
    <w:p w:rsidR="0070502B" w:rsidRDefault="0070502B" w:rsidP="00135989">
      <w:pPr>
        <w:pBdr>
          <w:bottom w:val="single" w:sz="4" w:space="1" w:color="auto"/>
        </w:pBdr>
        <w:jc w:val="center"/>
        <w:rPr>
          <w:rFonts w:asciiTheme="minorHAnsi" w:hAnsiTheme="minorHAnsi"/>
          <w:bCs/>
          <w:sz w:val="22"/>
          <w:szCs w:val="22"/>
        </w:rPr>
      </w:pPr>
      <w:proofErr w:type="gramStart"/>
      <w:r w:rsidRPr="00510399">
        <w:rPr>
          <w:rFonts w:asciiTheme="minorHAnsi" w:hAnsiTheme="minorHAnsi"/>
          <w:bCs/>
          <w:sz w:val="22"/>
          <w:szCs w:val="22"/>
        </w:rPr>
        <w:t>Director -- Timothy R. Graeff, Ph.D.</w:t>
      </w:r>
      <w:proofErr w:type="gramEnd"/>
    </w:p>
    <w:p w:rsidR="00135989" w:rsidRPr="00510399" w:rsidRDefault="001041CB" w:rsidP="00135989">
      <w:pPr>
        <w:pBdr>
          <w:bottom w:val="single" w:sz="4" w:space="1" w:color="auto"/>
        </w:pBdr>
        <w:jc w:val="center"/>
        <w:rPr>
          <w:rFonts w:asciiTheme="minorHAnsi" w:hAnsiTheme="minorHAnsi"/>
          <w:bCs/>
          <w:i/>
          <w:sz w:val="22"/>
          <w:szCs w:val="22"/>
        </w:rPr>
      </w:pPr>
      <w:hyperlink r:id="rId10" w:history="1">
        <w:r w:rsidR="00FB298B" w:rsidRPr="00812D8A">
          <w:rPr>
            <w:rStyle w:val="Hyperlink"/>
            <w:rFonts w:asciiTheme="minorHAnsi" w:hAnsiTheme="minorHAnsi"/>
            <w:bCs/>
            <w:sz w:val="22"/>
            <w:szCs w:val="22"/>
          </w:rPr>
          <w:t>Tim.Graeff@mtsu.edu</w:t>
        </w:r>
      </w:hyperlink>
      <w:proofErr w:type="gramStart"/>
      <w:r w:rsidR="001A1A56">
        <w:rPr>
          <w:rStyle w:val="Hyperlink"/>
          <w:rFonts w:asciiTheme="minorHAnsi" w:hAnsiTheme="minorHAnsi"/>
          <w:bCs/>
          <w:sz w:val="22"/>
          <w:szCs w:val="22"/>
        </w:rPr>
        <w:t xml:space="preserve">,  </w:t>
      </w:r>
      <w:r w:rsidR="00FB298B">
        <w:rPr>
          <w:rFonts w:asciiTheme="minorHAnsi" w:hAnsiTheme="minorHAnsi"/>
          <w:bCs/>
          <w:sz w:val="22"/>
          <w:szCs w:val="22"/>
        </w:rPr>
        <w:t>615</w:t>
      </w:r>
      <w:proofErr w:type="gramEnd"/>
      <w:r w:rsidR="00FB298B">
        <w:rPr>
          <w:rFonts w:asciiTheme="minorHAnsi" w:hAnsiTheme="minorHAnsi"/>
          <w:bCs/>
          <w:sz w:val="22"/>
          <w:szCs w:val="22"/>
        </w:rPr>
        <w:t>-898-5124</w:t>
      </w:r>
    </w:p>
    <w:p w:rsidR="00303944" w:rsidRPr="00A16353" w:rsidRDefault="00303944">
      <w:pPr>
        <w:jc w:val="center"/>
        <w:rPr>
          <w:rFonts w:asciiTheme="minorHAnsi" w:hAnsiTheme="minorHAnsi"/>
          <w:b/>
          <w:bCs/>
        </w:rPr>
      </w:pPr>
    </w:p>
    <w:p w:rsidR="007A4C2B" w:rsidRPr="00ED7F2F" w:rsidRDefault="008F3A00" w:rsidP="007A4C2B">
      <w:pPr>
        <w:jc w:val="center"/>
        <w:rPr>
          <w:rFonts w:asciiTheme="minorHAnsi" w:hAnsiTheme="minorHAnsi"/>
          <w:b/>
          <w:bCs/>
          <w:sz w:val="32"/>
          <w:szCs w:val="32"/>
        </w:rPr>
      </w:pPr>
      <w:r w:rsidRPr="00ED7F2F">
        <w:rPr>
          <w:rFonts w:asciiTheme="minorHAnsi" w:hAnsiTheme="minorHAnsi"/>
          <w:b/>
          <w:bCs/>
          <w:sz w:val="32"/>
          <w:szCs w:val="32"/>
        </w:rPr>
        <w:t>Consumer</w:t>
      </w:r>
      <w:r w:rsidR="007A4C2B" w:rsidRPr="00ED7F2F">
        <w:rPr>
          <w:rFonts w:asciiTheme="minorHAnsi" w:hAnsiTheme="minorHAnsi"/>
          <w:b/>
          <w:bCs/>
          <w:sz w:val="32"/>
          <w:szCs w:val="32"/>
        </w:rPr>
        <w:t>s’ Outlook on the Economy Improves</w:t>
      </w:r>
    </w:p>
    <w:p w:rsidR="00BD7307" w:rsidRPr="00A16353" w:rsidRDefault="00ED7049" w:rsidP="007A4C2B">
      <w:pPr>
        <w:jc w:val="center"/>
        <w:rPr>
          <w:rFonts w:asciiTheme="minorHAnsi" w:hAnsiTheme="minorHAnsi"/>
          <w:bCs/>
        </w:rPr>
      </w:pPr>
      <w:r w:rsidRPr="00A16353">
        <w:rPr>
          <w:rFonts w:asciiTheme="minorHAnsi" w:hAnsiTheme="minorHAnsi"/>
          <w:bCs/>
        </w:rPr>
        <w:t xml:space="preserve">    </w:t>
      </w:r>
    </w:p>
    <w:p w:rsidR="003A3CCF" w:rsidRDefault="0087498A" w:rsidP="009821BD">
      <w:pPr>
        <w:pStyle w:val="BodyText"/>
        <w:jc w:val="both"/>
        <w:rPr>
          <w:rFonts w:asciiTheme="minorHAnsi" w:hAnsiTheme="minorHAnsi"/>
          <w:bCs/>
        </w:rPr>
      </w:pPr>
      <w:r>
        <w:rPr>
          <w:rFonts w:asciiTheme="minorHAnsi" w:hAnsiTheme="minorHAnsi"/>
          <w:bCs/>
        </w:rPr>
        <w:t xml:space="preserve">     </w:t>
      </w:r>
      <w:r w:rsidR="000F3DEC">
        <w:rPr>
          <w:rFonts w:asciiTheme="minorHAnsi" w:hAnsiTheme="minorHAnsi"/>
          <w:bCs/>
        </w:rPr>
        <w:t>Local consumers’ outlook on the economy has improved since the beginning of the year.  E</w:t>
      </w:r>
      <w:r w:rsidR="007F5E6D">
        <w:rPr>
          <w:rFonts w:asciiTheme="minorHAnsi" w:hAnsiTheme="minorHAnsi"/>
          <w:bCs/>
        </w:rPr>
        <w:t>ven though c</w:t>
      </w:r>
      <w:r w:rsidR="00393723">
        <w:rPr>
          <w:rFonts w:asciiTheme="minorHAnsi" w:hAnsiTheme="minorHAnsi"/>
          <w:bCs/>
        </w:rPr>
        <w:t xml:space="preserve">onsumers in Middle Tennessee continue to hold negative perceptions of the </w:t>
      </w:r>
      <w:r w:rsidR="007F5E6D">
        <w:rPr>
          <w:rFonts w:asciiTheme="minorHAnsi" w:hAnsiTheme="minorHAnsi"/>
          <w:bCs/>
        </w:rPr>
        <w:t xml:space="preserve">current </w:t>
      </w:r>
      <w:r w:rsidR="00393723">
        <w:rPr>
          <w:rFonts w:asciiTheme="minorHAnsi" w:hAnsiTheme="minorHAnsi"/>
          <w:bCs/>
        </w:rPr>
        <w:t>economy</w:t>
      </w:r>
      <w:r w:rsidR="007F5E6D">
        <w:rPr>
          <w:rFonts w:asciiTheme="minorHAnsi" w:hAnsiTheme="minorHAnsi"/>
          <w:bCs/>
        </w:rPr>
        <w:t xml:space="preserve">, the overall </w:t>
      </w:r>
      <w:r w:rsidR="00A07B8D">
        <w:rPr>
          <w:rFonts w:asciiTheme="minorHAnsi" w:hAnsiTheme="minorHAnsi"/>
          <w:bCs/>
        </w:rPr>
        <w:t>consumer outlook index</w:t>
      </w:r>
      <w:r w:rsidR="007F5E6D">
        <w:rPr>
          <w:rFonts w:asciiTheme="minorHAnsi" w:hAnsiTheme="minorHAnsi"/>
          <w:bCs/>
        </w:rPr>
        <w:t xml:space="preserve"> </w:t>
      </w:r>
      <w:r w:rsidR="005308C2">
        <w:rPr>
          <w:rFonts w:asciiTheme="minorHAnsi" w:hAnsiTheme="minorHAnsi"/>
          <w:bCs/>
        </w:rPr>
        <w:t>i</w:t>
      </w:r>
      <w:r w:rsidR="000F3DEC">
        <w:rPr>
          <w:rFonts w:asciiTheme="minorHAnsi" w:hAnsiTheme="minorHAnsi"/>
          <w:bCs/>
        </w:rPr>
        <w:t>ncrease</w:t>
      </w:r>
      <w:r w:rsidR="005308C2">
        <w:rPr>
          <w:rFonts w:asciiTheme="minorHAnsi" w:hAnsiTheme="minorHAnsi"/>
          <w:bCs/>
        </w:rPr>
        <w:t xml:space="preserve">d to </w:t>
      </w:r>
      <w:r w:rsidR="007F5E6D">
        <w:rPr>
          <w:rFonts w:asciiTheme="minorHAnsi" w:hAnsiTheme="minorHAnsi"/>
          <w:bCs/>
        </w:rPr>
        <w:t>1</w:t>
      </w:r>
      <w:r w:rsidR="00EC7C28">
        <w:rPr>
          <w:rFonts w:asciiTheme="minorHAnsi" w:hAnsiTheme="minorHAnsi"/>
          <w:bCs/>
        </w:rPr>
        <w:t>84</w:t>
      </w:r>
      <w:r w:rsidR="00EC0B8F">
        <w:rPr>
          <w:rFonts w:asciiTheme="minorHAnsi" w:hAnsiTheme="minorHAnsi"/>
          <w:bCs/>
        </w:rPr>
        <w:t xml:space="preserve">, </w:t>
      </w:r>
      <w:r w:rsidR="007F5E6D">
        <w:rPr>
          <w:rFonts w:asciiTheme="minorHAnsi" w:hAnsiTheme="minorHAnsi"/>
          <w:bCs/>
        </w:rPr>
        <w:t xml:space="preserve">up from </w:t>
      </w:r>
      <w:r w:rsidR="0038364E">
        <w:rPr>
          <w:rFonts w:asciiTheme="minorHAnsi" w:hAnsiTheme="minorHAnsi"/>
          <w:bCs/>
        </w:rPr>
        <w:t>1</w:t>
      </w:r>
      <w:r w:rsidR="00EC7C28">
        <w:rPr>
          <w:rFonts w:asciiTheme="minorHAnsi" w:hAnsiTheme="minorHAnsi"/>
          <w:bCs/>
        </w:rPr>
        <w:t>51</w:t>
      </w:r>
      <w:r w:rsidR="007F5E6D">
        <w:rPr>
          <w:rFonts w:asciiTheme="minorHAnsi" w:hAnsiTheme="minorHAnsi"/>
          <w:bCs/>
        </w:rPr>
        <w:t xml:space="preserve"> in </w:t>
      </w:r>
      <w:r w:rsidR="00EC7C28">
        <w:rPr>
          <w:rFonts w:asciiTheme="minorHAnsi" w:hAnsiTheme="minorHAnsi"/>
          <w:bCs/>
        </w:rPr>
        <w:t xml:space="preserve">January </w:t>
      </w:r>
      <w:r w:rsidR="007F5E6D">
        <w:rPr>
          <w:rFonts w:asciiTheme="minorHAnsi" w:hAnsiTheme="minorHAnsi"/>
          <w:bCs/>
        </w:rPr>
        <w:t>of 201</w:t>
      </w:r>
      <w:r w:rsidR="00EC7C28">
        <w:rPr>
          <w:rFonts w:asciiTheme="minorHAnsi" w:hAnsiTheme="minorHAnsi"/>
          <w:bCs/>
        </w:rPr>
        <w:t>2</w:t>
      </w:r>
      <w:r w:rsidR="007F5E6D">
        <w:rPr>
          <w:rFonts w:asciiTheme="minorHAnsi" w:hAnsiTheme="minorHAnsi"/>
          <w:bCs/>
        </w:rPr>
        <w:t>.</w:t>
      </w:r>
      <w:r w:rsidR="009821BD">
        <w:rPr>
          <w:rFonts w:asciiTheme="minorHAnsi" w:hAnsiTheme="minorHAnsi"/>
          <w:bCs/>
        </w:rPr>
        <w:t xml:space="preserve">  This </w:t>
      </w:r>
      <w:r w:rsidR="00EC7C28">
        <w:rPr>
          <w:rFonts w:asciiTheme="minorHAnsi" w:hAnsiTheme="minorHAnsi"/>
          <w:bCs/>
        </w:rPr>
        <w:t xml:space="preserve">continues a steady trend of improving </w:t>
      </w:r>
      <w:r w:rsidR="005308C2">
        <w:rPr>
          <w:rFonts w:asciiTheme="minorHAnsi" w:hAnsiTheme="minorHAnsi"/>
          <w:bCs/>
        </w:rPr>
        <w:t xml:space="preserve">perceptions of the </w:t>
      </w:r>
      <w:r w:rsidR="00EC7C28">
        <w:rPr>
          <w:rFonts w:asciiTheme="minorHAnsi" w:hAnsiTheme="minorHAnsi"/>
          <w:bCs/>
        </w:rPr>
        <w:t>economy which began in the second half of 2011</w:t>
      </w:r>
      <w:r w:rsidR="009821BD">
        <w:rPr>
          <w:rFonts w:asciiTheme="minorHAnsi" w:hAnsiTheme="minorHAnsi"/>
          <w:bCs/>
        </w:rPr>
        <w:t>.</w:t>
      </w:r>
      <w:r w:rsidR="007F5E6D">
        <w:rPr>
          <w:rFonts w:asciiTheme="minorHAnsi" w:hAnsiTheme="minorHAnsi"/>
          <w:bCs/>
        </w:rPr>
        <w:t xml:space="preserve">  However, </w:t>
      </w:r>
      <w:r w:rsidR="0038364E">
        <w:rPr>
          <w:rFonts w:asciiTheme="minorHAnsi" w:hAnsiTheme="minorHAnsi"/>
          <w:bCs/>
        </w:rPr>
        <w:t xml:space="preserve">when viewed from a historical perspective, </w:t>
      </w:r>
      <w:r w:rsidR="007F5E6D">
        <w:rPr>
          <w:rFonts w:asciiTheme="minorHAnsi" w:hAnsiTheme="minorHAnsi"/>
          <w:bCs/>
        </w:rPr>
        <w:t xml:space="preserve">the overall confidence index is still </w:t>
      </w:r>
      <w:r w:rsidR="008C483D">
        <w:rPr>
          <w:rFonts w:asciiTheme="minorHAnsi" w:hAnsiTheme="minorHAnsi"/>
          <w:bCs/>
        </w:rPr>
        <w:t xml:space="preserve">at a </w:t>
      </w:r>
      <w:r w:rsidR="0038364E">
        <w:rPr>
          <w:rFonts w:asciiTheme="minorHAnsi" w:hAnsiTheme="minorHAnsi"/>
          <w:bCs/>
        </w:rPr>
        <w:t xml:space="preserve">relatively </w:t>
      </w:r>
      <w:r w:rsidR="008C483D">
        <w:rPr>
          <w:rFonts w:asciiTheme="minorHAnsi" w:hAnsiTheme="minorHAnsi"/>
          <w:bCs/>
        </w:rPr>
        <w:t xml:space="preserve">low level </w:t>
      </w:r>
      <w:r w:rsidR="007F5E6D">
        <w:rPr>
          <w:rFonts w:asciiTheme="minorHAnsi" w:hAnsiTheme="minorHAnsi"/>
          <w:bCs/>
        </w:rPr>
        <w:t xml:space="preserve">given that </w:t>
      </w:r>
      <w:r w:rsidR="009821BD">
        <w:rPr>
          <w:rFonts w:asciiTheme="minorHAnsi" w:hAnsiTheme="minorHAnsi"/>
          <w:bCs/>
        </w:rPr>
        <w:t xml:space="preserve">the index was routinely in the 200 to 300 range </w:t>
      </w:r>
      <w:r w:rsidR="007F5E6D">
        <w:rPr>
          <w:rFonts w:asciiTheme="minorHAnsi" w:hAnsiTheme="minorHAnsi"/>
          <w:bCs/>
        </w:rPr>
        <w:t>during the fir</w:t>
      </w:r>
      <w:r w:rsidR="0077282D">
        <w:rPr>
          <w:rFonts w:asciiTheme="minorHAnsi" w:hAnsiTheme="minorHAnsi"/>
          <w:bCs/>
        </w:rPr>
        <w:t>st half of the last decade.</w:t>
      </w:r>
      <w:r w:rsidR="008C483D">
        <w:rPr>
          <w:rFonts w:asciiTheme="minorHAnsi" w:hAnsiTheme="minorHAnsi"/>
          <w:bCs/>
        </w:rPr>
        <w:t xml:space="preserve">  </w:t>
      </w:r>
    </w:p>
    <w:p w:rsidR="007C1CE7" w:rsidRDefault="007C1CE7" w:rsidP="009821BD">
      <w:pPr>
        <w:pStyle w:val="BodyText"/>
        <w:jc w:val="both"/>
        <w:rPr>
          <w:rFonts w:asciiTheme="minorHAnsi" w:hAnsiTheme="minorHAnsi"/>
          <w:bCs/>
        </w:rPr>
      </w:pPr>
    </w:p>
    <w:p w:rsidR="001A1A56" w:rsidRDefault="001A1A56" w:rsidP="009821BD">
      <w:pPr>
        <w:pStyle w:val="BodyText"/>
        <w:jc w:val="both"/>
        <w:rPr>
          <w:rFonts w:asciiTheme="minorHAnsi" w:hAnsiTheme="minorHAnsi"/>
          <w:bCs/>
        </w:rPr>
      </w:pPr>
      <w:r>
        <w:rPr>
          <w:rFonts w:asciiTheme="minorHAnsi" w:hAnsiTheme="minorHAnsi"/>
          <w:bCs/>
        </w:rPr>
        <w:t xml:space="preserve">     Local consumers’ perceptions of the current economy have improved, and the increase in the purchasing index suggests that consumers increasing</w:t>
      </w:r>
      <w:r w:rsidR="00ED7F2F">
        <w:rPr>
          <w:rFonts w:asciiTheme="minorHAnsi" w:hAnsiTheme="minorHAnsi"/>
          <w:bCs/>
        </w:rPr>
        <w:t>ly</w:t>
      </w:r>
      <w:r>
        <w:rPr>
          <w:rFonts w:asciiTheme="minorHAnsi" w:hAnsiTheme="minorHAnsi"/>
          <w:bCs/>
        </w:rPr>
        <w:t xml:space="preserve"> view now as a good time </w:t>
      </w:r>
      <w:r w:rsidR="005308C2">
        <w:rPr>
          <w:rFonts w:asciiTheme="minorHAnsi" w:hAnsiTheme="minorHAnsi"/>
          <w:bCs/>
        </w:rPr>
        <w:t xml:space="preserve">to </w:t>
      </w:r>
      <w:r>
        <w:rPr>
          <w:rFonts w:asciiTheme="minorHAnsi" w:hAnsiTheme="minorHAnsi"/>
          <w:bCs/>
        </w:rPr>
        <w:t xml:space="preserve">make large purchases.  A </w:t>
      </w:r>
      <w:r w:rsidR="005308C2">
        <w:rPr>
          <w:rFonts w:asciiTheme="minorHAnsi" w:hAnsiTheme="minorHAnsi"/>
          <w:bCs/>
        </w:rPr>
        <w:t xml:space="preserve">growing </w:t>
      </w:r>
      <w:r>
        <w:rPr>
          <w:rFonts w:asciiTheme="minorHAnsi" w:hAnsiTheme="minorHAnsi"/>
          <w:bCs/>
        </w:rPr>
        <w:t xml:space="preserve">percent of consumers expect to increase their level of consumer spending from last year.  However, some of this </w:t>
      </w:r>
      <w:r w:rsidR="00ED7F2F">
        <w:rPr>
          <w:rFonts w:asciiTheme="minorHAnsi" w:hAnsiTheme="minorHAnsi"/>
          <w:bCs/>
        </w:rPr>
        <w:t xml:space="preserve">expected </w:t>
      </w:r>
      <w:r>
        <w:rPr>
          <w:rFonts w:asciiTheme="minorHAnsi" w:hAnsiTheme="minorHAnsi"/>
          <w:bCs/>
        </w:rPr>
        <w:t>increased spending could be the result of</w:t>
      </w:r>
      <w:r w:rsidR="005308C2">
        <w:rPr>
          <w:rFonts w:asciiTheme="minorHAnsi" w:hAnsiTheme="minorHAnsi"/>
          <w:bCs/>
        </w:rPr>
        <w:t xml:space="preserve"> escalating </w:t>
      </w:r>
      <w:r>
        <w:rPr>
          <w:rFonts w:asciiTheme="minorHAnsi" w:hAnsiTheme="minorHAnsi"/>
          <w:bCs/>
        </w:rPr>
        <w:t xml:space="preserve">gasoline prices.  Further, increased consumer spending could be tempered by growing </w:t>
      </w:r>
      <w:r w:rsidR="00ED7F2F">
        <w:rPr>
          <w:rFonts w:asciiTheme="minorHAnsi" w:hAnsiTheme="minorHAnsi"/>
          <w:bCs/>
        </w:rPr>
        <w:t xml:space="preserve">uneasiness </w:t>
      </w:r>
      <w:r>
        <w:rPr>
          <w:rFonts w:asciiTheme="minorHAnsi" w:hAnsiTheme="minorHAnsi"/>
          <w:bCs/>
        </w:rPr>
        <w:t>about the future of the economy.  Worries about the current job market, concerns about the growing national debt</w:t>
      </w:r>
      <w:r w:rsidR="007C1CE7">
        <w:rPr>
          <w:rFonts w:asciiTheme="minorHAnsi" w:hAnsiTheme="minorHAnsi"/>
          <w:bCs/>
        </w:rPr>
        <w:t>,</w:t>
      </w:r>
      <w:r>
        <w:rPr>
          <w:rFonts w:asciiTheme="minorHAnsi" w:hAnsiTheme="minorHAnsi"/>
          <w:bCs/>
        </w:rPr>
        <w:t xml:space="preserve"> and fears of higher taxes have led to uncertainty about the direction of the </w:t>
      </w:r>
      <w:r w:rsidR="007C1CE7">
        <w:rPr>
          <w:rFonts w:asciiTheme="minorHAnsi" w:hAnsiTheme="minorHAnsi"/>
          <w:bCs/>
        </w:rPr>
        <w:t xml:space="preserve">future </w:t>
      </w:r>
      <w:r>
        <w:rPr>
          <w:rFonts w:asciiTheme="minorHAnsi" w:hAnsiTheme="minorHAnsi"/>
          <w:bCs/>
        </w:rPr>
        <w:t>economy</w:t>
      </w:r>
      <w:r w:rsidR="007C1CE7">
        <w:rPr>
          <w:rFonts w:asciiTheme="minorHAnsi" w:hAnsiTheme="minorHAnsi"/>
          <w:bCs/>
        </w:rPr>
        <w:t>.</w:t>
      </w:r>
      <w:r>
        <w:rPr>
          <w:rFonts w:asciiTheme="minorHAnsi" w:hAnsiTheme="minorHAnsi"/>
          <w:bCs/>
        </w:rPr>
        <w:t xml:space="preserve">  </w:t>
      </w:r>
    </w:p>
    <w:p w:rsidR="001A1A56" w:rsidRDefault="001A1A56" w:rsidP="009821BD">
      <w:pPr>
        <w:pStyle w:val="BodyText"/>
        <w:jc w:val="both"/>
        <w:rPr>
          <w:rFonts w:asciiTheme="minorHAnsi" w:hAnsiTheme="minorHAnsi"/>
          <w:bCs/>
        </w:rPr>
      </w:pPr>
    </w:p>
    <w:p w:rsidR="009821BD" w:rsidRDefault="003A3CCF" w:rsidP="009821BD">
      <w:pPr>
        <w:pStyle w:val="BodyText"/>
        <w:jc w:val="both"/>
        <w:rPr>
          <w:rFonts w:asciiTheme="minorHAnsi" w:hAnsiTheme="minorHAnsi"/>
        </w:rPr>
      </w:pPr>
      <w:r>
        <w:rPr>
          <w:rFonts w:asciiTheme="minorHAnsi" w:hAnsiTheme="minorHAnsi"/>
          <w:bCs/>
        </w:rPr>
        <w:t xml:space="preserve">     </w:t>
      </w:r>
      <w:r w:rsidR="009821BD" w:rsidRPr="00A16353">
        <w:rPr>
          <w:rFonts w:asciiTheme="minorHAnsi" w:hAnsiTheme="minorHAnsi"/>
        </w:rPr>
        <w:t xml:space="preserve">The current poll of </w:t>
      </w:r>
      <w:r w:rsidR="009821BD">
        <w:rPr>
          <w:rFonts w:asciiTheme="minorHAnsi" w:hAnsiTheme="minorHAnsi"/>
        </w:rPr>
        <w:t>40</w:t>
      </w:r>
      <w:r w:rsidR="007A4C2B">
        <w:rPr>
          <w:rFonts w:asciiTheme="minorHAnsi" w:hAnsiTheme="minorHAnsi"/>
        </w:rPr>
        <w:t>4</w:t>
      </w:r>
      <w:r w:rsidR="009821BD">
        <w:rPr>
          <w:rFonts w:asciiTheme="minorHAnsi" w:hAnsiTheme="minorHAnsi"/>
        </w:rPr>
        <w:t xml:space="preserve"> </w:t>
      </w:r>
      <w:r w:rsidR="009821BD" w:rsidRPr="00A16353">
        <w:rPr>
          <w:rFonts w:asciiTheme="minorHAnsi" w:hAnsiTheme="minorHAnsi"/>
        </w:rPr>
        <w:t xml:space="preserve">randomly selected adult residents of Davidson, Rutherford and Williamson counties was conducted the evenings of </w:t>
      </w:r>
      <w:r w:rsidR="009821BD">
        <w:rPr>
          <w:rFonts w:asciiTheme="minorHAnsi" w:hAnsiTheme="minorHAnsi"/>
        </w:rPr>
        <w:t xml:space="preserve">Monday, </w:t>
      </w:r>
      <w:r w:rsidR="00E25F36">
        <w:rPr>
          <w:rFonts w:asciiTheme="minorHAnsi" w:hAnsiTheme="minorHAnsi"/>
        </w:rPr>
        <w:t xml:space="preserve">April 23 and </w:t>
      </w:r>
      <w:r w:rsidR="009821BD">
        <w:rPr>
          <w:rFonts w:asciiTheme="minorHAnsi" w:hAnsiTheme="minorHAnsi"/>
        </w:rPr>
        <w:t xml:space="preserve">Tuesday, </w:t>
      </w:r>
      <w:r w:rsidR="00E25F36">
        <w:rPr>
          <w:rFonts w:asciiTheme="minorHAnsi" w:hAnsiTheme="minorHAnsi"/>
        </w:rPr>
        <w:t>April 24</w:t>
      </w:r>
      <w:r w:rsidR="009821BD" w:rsidRPr="00A16353">
        <w:rPr>
          <w:rFonts w:asciiTheme="minorHAnsi" w:hAnsiTheme="minorHAnsi"/>
        </w:rPr>
        <w:t xml:space="preserve">.  </w:t>
      </w:r>
    </w:p>
    <w:p w:rsidR="009821BD" w:rsidRDefault="009821BD" w:rsidP="009821BD">
      <w:pPr>
        <w:pStyle w:val="BodyText"/>
        <w:jc w:val="both"/>
        <w:rPr>
          <w:rFonts w:asciiTheme="minorHAnsi" w:hAnsiTheme="minorHAnsi"/>
        </w:rPr>
      </w:pPr>
    </w:p>
    <w:p w:rsidR="009821BD" w:rsidRPr="00ED7F2F" w:rsidRDefault="009821BD" w:rsidP="00ED7F2F">
      <w:pPr>
        <w:jc w:val="center"/>
        <w:rPr>
          <w:rFonts w:asciiTheme="minorHAnsi" w:hAnsiTheme="minorHAnsi"/>
          <w:b/>
          <w:color w:val="002060"/>
          <w:sz w:val="28"/>
          <w:szCs w:val="28"/>
        </w:rPr>
      </w:pPr>
      <w:r w:rsidRPr="00ED7F2F">
        <w:rPr>
          <w:rFonts w:asciiTheme="minorHAnsi" w:hAnsiTheme="minorHAnsi"/>
          <w:b/>
          <w:color w:val="002060"/>
          <w:sz w:val="28"/>
          <w:szCs w:val="28"/>
        </w:rPr>
        <w:t xml:space="preserve">The Middle Tennessee </w:t>
      </w:r>
      <w:r w:rsidR="00A07B8D" w:rsidRPr="00ED7F2F">
        <w:rPr>
          <w:rFonts w:asciiTheme="minorHAnsi" w:hAnsiTheme="minorHAnsi"/>
          <w:b/>
          <w:color w:val="002060"/>
          <w:sz w:val="28"/>
          <w:szCs w:val="28"/>
        </w:rPr>
        <w:t xml:space="preserve">Consumer </w:t>
      </w:r>
      <w:r w:rsidR="002432C1" w:rsidRPr="00ED7F2F">
        <w:rPr>
          <w:rFonts w:asciiTheme="minorHAnsi" w:hAnsiTheme="minorHAnsi"/>
          <w:b/>
          <w:color w:val="002060"/>
          <w:sz w:val="28"/>
          <w:szCs w:val="28"/>
        </w:rPr>
        <w:t>O</w:t>
      </w:r>
      <w:r w:rsidR="00A07B8D" w:rsidRPr="00ED7F2F">
        <w:rPr>
          <w:rFonts w:asciiTheme="minorHAnsi" w:hAnsiTheme="minorHAnsi"/>
          <w:b/>
          <w:color w:val="002060"/>
          <w:sz w:val="28"/>
          <w:szCs w:val="28"/>
        </w:rPr>
        <w:t xml:space="preserve">utlook </w:t>
      </w:r>
      <w:r w:rsidR="002432C1" w:rsidRPr="00ED7F2F">
        <w:rPr>
          <w:rFonts w:asciiTheme="minorHAnsi" w:hAnsiTheme="minorHAnsi"/>
          <w:b/>
          <w:color w:val="002060"/>
          <w:sz w:val="28"/>
          <w:szCs w:val="28"/>
        </w:rPr>
        <w:t>I</w:t>
      </w:r>
      <w:r w:rsidR="00A07B8D" w:rsidRPr="00ED7F2F">
        <w:rPr>
          <w:rFonts w:asciiTheme="minorHAnsi" w:hAnsiTheme="minorHAnsi"/>
          <w:b/>
          <w:color w:val="002060"/>
          <w:sz w:val="28"/>
          <w:szCs w:val="28"/>
        </w:rPr>
        <w:t>ndex</w:t>
      </w:r>
      <w:r w:rsidRPr="00ED7F2F">
        <w:rPr>
          <w:rFonts w:asciiTheme="minorHAnsi" w:hAnsiTheme="minorHAnsi"/>
          <w:b/>
          <w:color w:val="002060"/>
          <w:sz w:val="28"/>
          <w:szCs w:val="28"/>
        </w:rPr>
        <w:t xml:space="preserve"> and Components</w:t>
      </w:r>
    </w:p>
    <w:tbl>
      <w:tblPr>
        <w:tblW w:w="874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815"/>
        <w:gridCol w:w="630"/>
        <w:gridCol w:w="630"/>
        <w:gridCol w:w="630"/>
        <w:gridCol w:w="630"/>
        <w:gridCol w:w="630"/>
        <w:gridCol w:w="630"/>
        <w:gridCol w:w="630"/>
        <w:gridCol w:w="540"/>
        <w:gridCol w:w="630"/>
        <w:gridCol w:w="630"/>
        <w:gridCol w:w="720"/>
      </w:tblGrid>
      <w:tr w:rsidR="00E25F36" w:rsidRPr="00A16353" w:rsidTr="00E25F36">
        <w:trPr>
          <w:trHeight w:val="255"/>
        </w:trPr>
        <w:tc>
          <w:tcPr>
            <w:tcW w:w="1815" w:type="dxa"/>
            <w:shd w:val="clear" w:color="auto" w:fill="B8CCE4" w:themeFill="accent1" w:themeFillTint="66"/>
            <w:noWrap/>
            <w:tcMar>
              <w:top w:w="15" w:type="dxa"/>
              <w:left w:w="15" w:type="dxa"/>
              <w:bottom w:w="0" w:type="dxa"/>
              <w:right w:w="15" w:type="dxa"/>
            </w:tcMar>
            <w:vAlign w:val="bottom"/>
          </w:tcPr>
          <w:p w:rsidR="00140EF4" w:rsidRPr="00A16353" w:rsidRDefault="00140EF4" w:rsidP="00525FB0">
            <w:pPr>
              <w:rPr>
                <w:rFonts w:asciiTheme="minorHAnsi" w:eastAsia="Arial Unicode MS" w:hAnsiTheme="minorHAnsi"/>
                <w:sz w:val="16"/>
                <w:szCs w:val="16"/>
              </w:rPr>
            </w:pPr>
            <w:r w:rsidRPr="00A16353">
              <w:rPr>
                <w:rFonts w:asciiTheme="minorHAnsi" w:hAnsiTheme="minorHAnsi"/>
              </w:rPr>
              <w:br w:type="column"/>
            </w:r>
          </w:p>
        </w:tc>
        <w:tc>
          <w:tcPr>
            <w:tcW w:w="630" w:type="dxa"/>
            <w:shd w:val="clear" w:color="auto" w:fill="B8CCE4" w:themeFill="accent1" w:themeFillTint="66"/>
          </w:tcPr>
          <w:p w:rsidR="00140EF4" w:rsidRPr="00F80F97" w:rsidRDefault="00140EF4" w:rsidP="00345ED2">
            <w:pPr>
              <w:jc w:val="center"/>
              <w:rPr>
                <w:rFonts w:asciiTheme="minorHAnsi" w:hAnsiTheme="minorHAnsi"/>
                <w:bCs/>
                <w:sz w:val="24"/>
                <w:szCs w:val="24"/>
              </w:rPr>
            </w:pPr>
            <w:r w:rsidRPr="00F80F97">
              <w:rPr>
                <w:rFonts w:asciiTheme="minorHAnsi" w:hAnsiTheme="minorHAnsi"/>
                <w:bCs/>
                <w:sz w:val="24"/>
                <w:szCs w:val="24"/>
              </w:rPr>
              <w:t>Apr ‘10</w:t>
            </w:r>
          </w:p>
        </w:tc>
        <w:tc>
          <w:tcPr>
            <w:tcW w:w="630" w:type="dxa"/>
            <w:shd w:val="clear" w:color="auto" w:fill="B8CCE4" w:themeFill="accent1" w:themeFillTint="66"/>
          </w:tcPr>
          <w:p w:rsidR="00140EF4" w:rsidRPr="00F80F97" w:rsidRDefault="00140EF4" w:rsidP="00345ED2">
            <w:pPr>
              <w:jc w:val="center"/>
              <w:rPr>
                <w:rFonts w:asciiTheme="minorHAnsi" w:hAnsiTheme="minorHAnsi"/>
                <w:bCs/>
                <w:sz w:val="24"/>
                <w:szCs w:val="24"/>
              </w:rPr>
            </w:pPr>
            <w:r w:rsidRPr="00F80F97">
              <w:rPr>
                <w:rFonts w:asciiTheme="minorHAnsi" w:hAnsiTheme="minorHAnsi"/>
                <w:bCs/>
                <w:sz w:val="24"/>
                <w:szCs w:val="24"/>
              </w:rPr>
              <w:t>Jun ‘10</w:t>
            </w:r>
          </w:p>
        </w:tc>
        <w:tc>
          <w:tcPr>
            <w:tcW w:w="630" w:type="dxa"/>
            <w:shd w:val="clear" w:color="auto" w:fill="B8CCE4" w:themeFill="accent1" w:themeFillTint="66"/>
          </w:tcPr>
          <w:p w:rsidR="00140EF4" w:rsidRPr="00F80F97" w:rsidRDefault="00140EF4" w:rsidP="00345ED2">
            <w:pPr>
              <w:jc w:val="center"/>
              <w:rPr>
                <w:rFonts w:asciiTheme="minorHAnsi" w:hAnsiTheme="minorHAnsi"/>
                <w:bCs/>
                <w:sz w:val="24"/>
                <w:szCs w:val="24"/>
              </w:rPr>
            </w:pPr>
            <w:r w:rsidRPr="00F80F97">
              <w:rPr>
                <w:rFonts w:asciiTheme="minorHAnsi" w:hAnsiTheme="minorHAnsi"/>
                <w:bCs/>
                <w:sz w:val="24"/>
                <w:szCs w:val="24"/>
              </w:rPr>
              <w:t>Sept ‘10</w:t>
            </w:r>
          </w:p>
        </w:tc>
        <w:tc>
          <w:tcPr>
            <w:tcW w:w="630" w:type="dxa"/>
            <w:shd w:val="clear" w:color="auto" w:fill="B8CCE4" w:themeFill="accent1" w:themeFillTint="66"/>
          </w:tcPr>
          <w:p w:rsidR="00140EF4" w:rsidRPr="00F80F97" w:rsidRDefault="00140EF4" w:rsidP="00345ED2">
            <w:pPr>
              <w:jc w:val="center"/>
              <w:rPr>
                <w:rFonts w:asciiTheme="minorHAnsi" w:hAnsiTheme="minorHAnsi"/>
                <w:bCs/>
                <w:sz w:val="24"/>
                <w:szCs w:val="24"/>
              </w:rPr>
            </w:pPr>
            <w:r w:rsidRPr="00F80F97">
              <w:rPr>
                <w:rFonts w:asciiTheme="minorHAnsi" w:hAnsiTheme="minorHAnsi"/>
                <w:bCs/>
                <w:sz w:val="24"/>
                <w:szCs w:val="24"/>
              </w:rPr>
              <w:t>Dec ‘10</w:t>
            </w:r>
          </w:p>
        </w:tc>
        <w:tc>
          <w:tcPr>
            <w:tcW w:w="630" w:type="dxa"/>
            <w:shd w:val="clear" w:color="auto" w:fill="B8CCE4" w:themeFill="accent1" w:themeFillTint="66"/>
          </w:tcPr>
          <w:p w:rsidR="00140EF4" w:rsidRPr="00F80F97" w:rsidRDefault="00140EF4" w:rsidP="00345ED2">
            <w:pPr>
              <w:jc w:val="center"/>
              <w:rPr>
                <w:rFonts w:asciiTheme="minorHAnsi" w:hAnsiTheme="minorHAnsi"/>
                <w:bCs/>
                <w:sz w:val="24"/>
                <w:szCs w:val="24"/>
              </w:rPr>
            </w:pPr>
            <w:r w:rsidRPr="00F80F97">
              <w:rPr>
                <w:rFonts w:asciiTheme="minorHAnsi" w:hAnsiTheme="minorHAnsi"/>
                <w:bCs/>
                <w:sz w:val="24"/>
                <w:szCs w:val="24"/>
              </w:rPr>
              <w:t>Feb ‘11</w:t>
            </w:r>
          </w:p>
        </w:tc>
        <w:tc>
          <w:tcPr>
            <w:tcW w:w="630" w:type="dxa"/>
            <w:shd w:val="clear" w:color="auto" w:fill="B8CCE4" w:themeFill="accent1" w:themeFillTint="66"/>
          </w:tcPr>
          <w:p w:rsidR="00140EF4" w:rsidRPr="0022312B" w:rsidRDefault="00140EF4" w:rsidP="00345ED2">
            <w:pPr>
              <w:jc w:val="center"/>
              <w:rPr>
                <w:rFonts w:asciiTheme="minorHAnsi" w:hAnsiTheme="minorHAnsi"/>
                <w:bCs/>
                <w:sz w:val="24"/>
                <w:szCs w:val="24"/>
              </w:rPr>
            </w:pPr>
            <w:r w:rsidRPr="0022312B">
              <w:rPr>
                <w:rFonts w:asciiTheme="minorHAnsi" w:hAnsiTheme="minorHAnsi"/>
                <w:bCs/>
                <w:sz w:val="24"/>
                <w:szCs w:val="24"/>
              </w:rPr>
              <w:t>Apr ‘11</w:t>
            </w:r>
          </w:p>
        </w:tc>
        <w:tc>
          <w:tcPr>
            <w:tcW w:w="630" w:type="dxa"/>
            <w:shd w:val="clear" w:color="auto" w:fill="B8CCE4" w:themeFill="accent1" w:themeFillTint="66"/>
          </w:tcPr>
          <w:p w:rsidR="00140EF4" w:rsidRPr="0022312B" w:rsidRDefault="00140EF4" w:rsidP="00345ED2">
            <w:pPr>
              <w:jc w:val="center"/>
              <w:rPr>
                <w:rFonts w:asciiTheme="minorHAnsi" w:hAnsiTheme="minorHAnsi"/>
                <w:bCs/>
                <w:sz w:val="24"/>
                <w:szCs w:val="24"/>
              </w:rPr>
            </w:pPr>
            <w:r w:rsidRPr="0022312B">
              <w:rPr>
                <w:rFonts w:asciiTheme="minorHAnsi" w:hAnsiTheme="minorHAnsi"/>
                <w:bCs/>
                <w:sz w:val="24"/>
                <w:szCs w:val="24"/>
              </w:rPr>
              <w:t>May ‘11</w:t>
            </w:r>
          </w:p>
        </w:tc>
        <w:tc>
          <w:tcPr>
            <w:tcW w:w="540" w:type="dxa"/>
            <w:shd w:val="clear" w:color="auto" w:fill="B8CCE4" w:themeFill="accent1" w:themeFillTint="66"/>
          </w:tcPr>
          <w:p w:rsidR="00140EF4" w:rsidRPr="0022312B" w:rsidRDefault="00140EF4" w:rsidP="00345ED2">
            <w:pPr>
              <w:jc w:val="center"/>
              <w:rPr>
                <w:rFonts w:asciiTheme="minorHAnsi" w:hAnsiTheme="minorHAnsi"/>
                <w:bCs/>
                <w:sz w:val="24"/>
                <w:szCs w:val="24"/>
              </w:rPr>
            </w:pPr>
            <w:r w:rsidRPr="0022312B">
              <w:rPr>
                <w:rFonts w:asciiTheme="minorHAnsi" w:hAnsiTheme="minorHAnsi"/>
                <w:bCs/>
                <w:sz w:val="24"/>
                <w:szCs w:val="24"/>
              </w:rPr>
              <w:t>Sept ‘11</w:t>
            </w:r>
          </w:p>
        </w:tc>
        <w:tc>
          <w:tcPr>
            <w:tcW w:w="630" w:type="dxa"/>
            <w:shd w:val="clear" w:color="auto" w:fill="B8CCE4" w:themeFill="accent1" w:themeFillTint="66"/>
          </w:tcPr>
          <w:p w:rsidR="00140EF4" w:rsidRPr="0022312B" w:rsidRDefault="00140EF4" w:rsidP="00345ED2">
            <w:pPr>
              <w:jc w:val="center"/>
              <w:rPr>
                <w:rFonts w:asciiTheme="minorHAnsi" w:hAnsiTheme="minorHAnsi"/>
                <w:bCs/>
                <w:sz w:val="24"/>
                <w:szCs w:val="24"/>
              </w:rPr>
            </w:pPr>
            <w:r w:rsidRPr="0022312B">
              <w:rPr>
                <w:rFonts w:asciiTheme="minorHAnsi" w:hAnsiTheme="minorHAnsi"/>
                <w:bCs/>
                <w:sz w:val="24"/>
                <w:szCs w:val="24"/>
              </w:rPr>
              <w:t>Dec</w:t>
            </w:r>
          </w:p>
          <w:p w:rsidR="00140EF4" w:rsidRPr="0022312B" w:rsidRDefault="00140EF4" w:rsidP="00345ED2">
            <w:pPr>
              <w:jc w:val="center"/>
              <w:rPr>
                <w:rFonts w:asciiTheme="minorHAnsi" w:hAnsiTheme="minorHAnsi"/>
                <w:bCs/>
                <w:sz w:val="24"/>
                <w:szCs w:val="24"/>
              </w:rPr>
            </w:pPr>
            <w:r w:rsidRPr="0022312B">
              <w:rPr>
                <w:rFonts w:asciiTheme="minorHAnsi" w:hAnsiTheme="minorHAnsi"/>
                <w:bCs/>
                <w:sz w:val="24"/>
                <w:szCs w:val="24"/>
              </w:rPr>
              <w:t>‘11</w:t>
            </w:r>
          </w:p>
        </w:tc>
        <w:tc>
          <w:tcPr>
            <w:tcW w:w="630" w:type="dxa"/>
            <w:shd w:val="clear" w:color="auto" w:fill="B8CCE4" w:themeFill="accent1" w:themeFillTint="66"/>
          </w:tcPr>
          <w:p w:rsidR="00140EF4" w:rsidRPr="00140EF4" w:rsidRDefault="00140EF4" w:rsidP="00345ED2">
            <w:pPr>
              <w:jc w:val="center"/>
              <w:rPr>
                <w:rFonts w:asciiTheme="minorHAnsi" w:hAnsiTheme="minorHAnsi"/>
                <w:bCs/>
                <w:sz w:val="24"/>
                <w:szCs w:val="24"/>
              </w:rPr>
            </w:pPr>
            <w:r w:rsidRPr="00140EF4">
              <w:rPr>
                <w:rFonts w:asciiTheme="minorHAnsi" w:hAnsiTheme="minorHAnsi"/>
                <w:bCs/>
                <w:sz w:val="24"/>
                <w:szCs w:val="24"/>
              </w:rPr>
              <w:t>Jan</w:t>
            </w:r>
          </w:p>
          <w:p w:rsidR="00140EF4" w:rsidRPr="00140EF4" w:rsidRDefault="00140EF4" w:rsidP="00345ED2">
            <w:pPr>
              <w:jc w:val="center"/>
              <w:rPr>
                <w:rFonts w:asciiTheme="minorHAnsi" w:hAnsiTheme="minorHAnsi"/>
                <w:bCs/>
                <w:sz w:val="24"/>
                <w:szCs w:val="24"/>
              </w:rPr>
            </w:pPr>
            <w:r w:rsidRPr="00140EF4">
              <w:rPr>
                <w:rFonts w:asciiTheme="minorHAnsi" w:hAnsiTheme="minorHAnsi"/>
                <w:bCs/>
                <w:sz w:val="24"/>
                <w:szCs w:val="24"/>
              </w:rPr>
              <w:t>‘12</w:t>
            </w:r>
          </w:p>
        </w:tc>
        <w:tc>
          <w:tcPr>
            <w:tcW w:w="720" w:type="dxa"/>
            <w:shd w:val="clear" w:color="auto" w:fill="B8CCE4" w:themeFill="accent1" w:themeFillTint="66"/>
          </w:tcPr>
          <w:p w:rsidR="00140EF4" w:rsidRPr="00140EF4" w:rsidRDefault="00140EF4" w:rsidP="00525FB0">
            <w:pPr>
              <w:jc w:val="center"/>
              <w:rPr>
                <w:rFonts w:asciiTheme="minorHAnsi" w:hAnsiTheme="minorHAnsi"/>
                <w:b/>
                <w:bCs/>
                <w:color w:val="FF0000"/>
                <w:sz w:val="24"/>
                <w:szCs w:val="24"/>
              </w:rPr>
            </w:pPr>
            <w:r w:rsidRPr="00140EF4">
              <w:rPr>
                <w:rFonts w:asciiTheme="minorHAnsi" w:hAnsiTheme="minorHAnsi"/>
                <w:b/>
                <w:bCs/>
                <w:color w:val="FF0000"/>
                <w:sz w:val="24"/>
                <w:szCs w:val="24"/>
              </w:rPr>
              <w:t>Apr ‘11</w:t>
            </w:r>
          </w:p>
        </w:tc>
      </w:tr>
      <w:tr w:rsidR="00140EF4" w:rsidRPr="00A16353" w:rsidTr="00E25F36">
        <w:trPr>
          <w:trHeight w:val="255"/>
        </w:trPr>
        <w:tc>
          <w:tcPr>
            <w:tcW w:w="1815" w:type="dxa"/>
            <w:noWrap/>
            <w:tcMar>
              <w:top w:w="15" w:type="dxa"/>
              <w:left w:w="15" w:type="dxa"/>
              <w:bottom w:w="0" w:type="dxa"/>
              <w:right w:w="15" w:type="dxa"/>
            </w:tcMar>
            <w:vAlign w:val="center"/>
          </w:tcPr>
          <w:p w:rsidR="00140EF4" w:rsidRPr="00A16353" w:rsidRDefault="00140EF4" w:rsidP="00BC26BC">
            <w:pPr>
              <w:rPr>
                <w:rFonts w:asciiTheme="minorHAnsi" w:eastAsia="Arial Unicode MS" w:hAnsiTheme="minorHAnsi"/>
                <w:sz w:val="16"/>
                <w:szCs w:val="16"/>
              </w:rPr>
            </w:pPr>
            <w:r w:rsidRPr="00A16353">
              <w:rPr>
                <w:rFonts w:asciiTheme="minorHAnsi" w:hAnsiTheme="minorHAnsi"/>
                <w:sz w:val="16"/>
                <w:szCs w:val="16"/>
              </w:rPr>
              <w:t xml:space="preserve">Overall </w:t>
            </w:r>
            <w:r w:rsidR="00BC26BC">
              <w:rPr>
                <w:rFonts w:asciiTheme="minorHAnsi" w:hAnsiTheme="minorHAnsi"/>
                <w:sz w:val="16"/>
                <w:szCs w:val="16"/>
              </w:rPr>
              <w:t>Outlook</w:t>
            </w:r>
            <w:r w:rsidRPr="00A16353">
              <w:rPr>
                <w:rFonts w:asciiTheme="minorHAnsi" w:hAnsiTheme="minorHAnsi"/>
                <w:sz w:val="16"/>
                <w:szCs w:val="16"/>
              </w:rPr>
              <w:t xml:space="preserve"> Index</w:t>
            </w:r>
          </w:p>
        </w:tc>
        <w:tc>
          <w:tcPr>
            <w:tcW w:w="630" w:type="dxa"/>
          </w:tcPr>
          <w:p w:rsidR="00140EF4" w:rsidRPr="00F80F97" w:rsidRDefault="00140EF4" w:rsidP="00345ED2">
            <w:pPr>
              <w:jc w:val="center"/>
              <w:rPr>
                <w:rFonts w:asciiTheme="minorHAnsi" w:hAnsiTheme="minorHAnsi"/>
                <w:bCs/>
                <w:sz w:val="24"/>
                <w:szCs w:val="24"/>
              </w:rPr>
            </w:pPr>
            <w:r w:rsidRPr="00F80F97">
              <w:rPr>
                <w:rFonts w:asciiTheme="minorHAnsi" w:hAnsiTheme="minorHAnsi"/>
                <w:bCs/>
                <w:sz w:val="24"/>
                <w:szCs w:val="24"/>
              </w:rPr>
              <w:t>99</w:t>
            </w:r>
          </w:p>
        </w:tc>
        <w:tc>
          <w:tcPr>
            <w:tcW w:w="630" w:type="dxa"/>
          </w:tcPr>
          <w:p w:rsidR="00140EF4" w:rsidRPr="00F80F97" w:rsidRDefault="00140EF4" w:rsidP="00345ED2">
            <w:pPr>
              <w:jc w:val="center"/>
              <w:rPr>
                <w:rFonts w:asciiTheme="minorHAnsi" w:hAnsiTheme="minorHAnsi"/>
                <w:bCs/>
                <w:sz w:val="24"/>
                <w:szCs w:val="24"/>
              </w:rPr>
            </w:pPr>
            <w:r w:rsidRPr="00F80F97">
              <w:rPr>
                <w:rFonts w:asciiTheme="minorHAnsi" w:hAnsiTheme="minorHAnsi"/>
                <w:bCs/>
                <w:sz w:val="24"/>
                <w:szCs w:val="24"/>
              </w:rPr>
              <w:t>102</w:t>
            </w:r>
          </w:p>
        </w:tc>
        <w:tc>
          <w:tcPr>
            <w:tcW w:w="630" w:type="dxa"/>
          </w:tcPr>
          <w:p w:rsidR="00140EF4" w:rsidRPr="00F80F97" w:rsidRDefault="00140EF4" w:rsidP="00345ED2">
            <w:pPr>
              <w:jc w:val="center"/>
              <w:rPr>
                <w:rFonts w:asciiTheme="minorHAnsi" w:hAnsiTheme="minorHAnsi"/>
                <w:bCs/>
                <w:sz w:val="24"/>
                <w:szCs w:val="24"/>
              </w:rPr>
            </w:pPr>
            <w:r w:rsidRPr="00F80F97">
              <w:rPr>
                <w:rFonts w:asciiTheme="minorHAnsi" w:hAnsiTheme="minorHAnsi"/>
                <w:bCs/>
                <w:sz w:val="24"/>
                <w:szCs w:val="24"/>
              </w:rPr>
              <w:t>76</w:t>
            </w:r>
          </w:p>
        </w:tc>
        <w:tc>
          <w:tcPr>
            <w:tcW w:w="630" w:type="dxa"/>
          </w:tcPr>
          <w:p w:rsidR="00140EF4" w:rsidRPr="00F80F97" w:rsidRDefault="00140EF4" w:rsidP="00345ED2">
            <w:pPr>
              <w:jc w:val="center"/>
              <w:rPr>
                <w:rFonts w:asciiTheme="minorHAnsi" w:hAnsiTheme="minorHAnsi"/>
                <w:bCs/>
                <w:sz w:val="24"/>
                <w:szCs w:val="24"/>
              </w:rPr>
            </w:pPr>
            <w:r w:rsidRPr="00F80F97">
              <w:rPr>
                <w:rFonts w:asciiTheme="minorHAnsi" w:hAnsiTheme="minorHAnsi"/>
                <w:bCs/>
                <w:sz w:val="24"/>
                <w:szCs w:val="24"/>
              </w:rPr>
              <w:t>69</w:t>
            </w:r>
          </w:p>
        </w:tc>
        <w:tc>
          <w:tcPr>
            <w:tcW w:w="630" w:type="dxa"/>
          </w:tcPr>
          <w:p w:rsidR="00140EF4" w:rsidRPr="00F80F97" w:rsidRDefault="00140EF4" w:rsidP="00345ED2">
            <w:pPr>
              <w:jc w:val="center"/>
              <w:rPr>
                <w:rFonts w:asciiTheme="minorHAnsi" w:hAnsiTheme="minorHAnsi"/>
                <w:bCs/>
                <w:sz w:val="24"/>
                <w:szCs w:val="24"/>
              </w:rPr>
            </w:pPr>
            <w:r w:rsidRPr="00F80F97">
              <w:rPr>
                <w:rFonts w:asciiTheme="minorHAnsi" w:hAnsiTheme="minorHAnsi"/>
                <w:bCs/>
                <w:sz w:val="24"/>
                <w:szCs w:val="24"/>
              </w:rPr>
              <w:t>129</w:t>
            </w:r>
          </w:p>
        </w:tc>
        <w:tc>
          <w:tcPr>
            <w:tcW w:w="630" w:type="dxa"/>
          </w:tcPr>
          <w:p w:rsidR="00140EF4" w:rsidRPr="0022312B" w:rsidRDefault="00140EF4" w:rsidP="00345ED2">
            <w:pPr>
              <w:jc w:val="center"/>
              <w:rPr>
                <w:rFonts w:asciiTheme="minorHAnsi" w:hAnsiTheme="minorHAnsi"/>
                <w:bCs/>
                <w:sz w:val="24"/>
                <w:szCs w:val="24"/>
              </w:rPr>
            </w:pPr>
            <w:r w:rsidRPr="0022312B">
              <w:rPr>
                <w:rFonts w:asciiTheme="minorHAnsi" w:hAnsiTheme="minorHAnsi"/>
                <w:bCs/>
                <w:sz w:val="24"/>
                <w:szCs w:val="24"/>
              </w:rPr>
              <w:t>54</w:t>
            </w:r>
          </w:p>
        </w:tc>
        <w:tc>
          <w:tcPr>
            <w:tcW w:w="630" w:type="dxa"/>
          </w:tcPr>
          <w:p w:rsidR="00140EF4" w:rsidRPr="0022312B" w:rsidRDefault="00140EF4" w:rsidP="00345ED2">
            <w:pPr>
              <w:jc w:val="center"/>
              <w:rPr>
                <w:rFonts w:asciiTheme="minorHAnsi" w:hAnsiTheme="minorHAnsi"/>
                <w:bCs/>
                <w:sz w:val="24"/>
                <w:szCs w:val="24"/>
              </w:rPr>
            </w:pPr>
            <w:r w:rsidRPr="0022312B">
              <w:rPr>
                <w:rFonts w:asciiTheme="minorHAnsi" w:hAnsiTheme="minorHAnsi"/>
                <w:bCs/>
                <w:sz w:val="24"/>
                <w:szCs w:val="24"/>
              </w:rPr>
              <w:t>63</w:t>
            </w:r>
          </w:p>
        </w:tc>
        <w:tc>
          <w:tcPr>
            <w:tcW w:w="540" w:type="dxa"/>
          </w:tcPr>
          <w:p w:rsidR="00140EF4" w:rsidRPr="0022312B" w:rsidRDefault="00140EF4" w:rsidP="00345ED2">
            <w:pPr>
              <w:jc w:val="center"/>
              <w:rPr>
                <w:rFonts w:asciiTheme="minorHAnsi" w:hAnsiTheme="minorHAnsi"/>
                <w:bCs/>
                <w:sz w:val="24"/>
                <w:szCs w:val="24"/>
              </w:rPr>
            </w:pPr>
            <w:r w:rsidRPr="0022312B">
              <w:rPr>
                <w:rFonts w:asciiTheme="minorHAnsi" w:hAnsiTheme="minorHAnsi"/>
                <w:bCs/>
                <w:sz w:val="24"/>
                <w:szCs w:val="24"/>
              </w:rPr>
              <w:t>27</w:t>
            </w:r>
          </w:p>
        </w:tc>
        <w:tc>
          <w:tcPr>
            <w:tcW w:w="630" w:type="dxa"/>
          </w:tcPr>
          <w:p w:rsidR="00140EF4" w:rsidRPr="0022312B" w:rsidRDefault="00140EF4" w:rsidP="00345ED2">
            <w:pPr>
              <w:jc w:val="center"/>
              <w:rPr>
                <w:rFonts w:asciiTheme="minorHAnsi" w:hAnsiTheme="minorHAnsi"/>
                <w:bCs/>
                <w:sz w:val="24"/>
                <w:szCs w:val="24"/>
              </w:rPr>
            </w:pPr>
            <w:r w:rsidRPr="0022312B">
              <w:rPr>
                <w:rFonts w:asciiTheme="minorHAnsi" w:hAnsiTheme="minorHAnsi"/>
                <w:bCs/>
                <w:sz w:val="24"/>
                <w:szCs w:val="24"/>
              </w:rPr>
              <w:t>112</w:t>
            </w:r>
          </w:p>
        </w:tc>
        <w:tc>
          <w:tcPr>
            <w:tcW w:w="630" w:type="dxa"/>
          </w:tcPr>
          <w:p w:rsidR="00140EF4" w:rsidRPr="00140EF4" w:rsidRDefault="00140EF4" w:rsidP="00140EF4">
            <w:pPr>
              <w:jc w:val="center"/>
              <w:rPr>
                <w:rFonts w:asciiTheme="minorHAnsi" w:hAnsiTheme="minorHAnsi"/>
                <w:bCs/>
                <w:sz w:val="24"/>
                <w:szCs w:val="24"/>
              </w:rPr>
            </w:pPr>
            <w:r w:rsidRPr="00140EF4">
              <w:rPr>
                <w:rFonts w:asciiTheme="minorHAnsi" w:hAnsiTheme="minorHAnsi"/>
                <w:bCs/>
                <w:sz w:val="24"/>
                <w:szCs w:val="24"/>
              </w:rPr>
              <w:t>151</w:t>
            </w:r>
          </w:p>
        </w:tc>
        <w:tc>
          <w:tcPr>
            <w:tcW w:w="720" w:type="dxa"/>
          </w:tcPr>
          <w:p w:rsidR="00140EF4" w:rsidRPr="00140EF4" w:rsidRDefault="007A4C2B" w:rsidP="007A4C2B">
            <w:pPr>
              <w:jc w:val="center"/>
              <w:rPr>
                <w:rFonts w:asciiTheme="minorHAnsi" w:hAnsiTheme="minorHAnsi"/>
                <w:b/>
                <w:bCs/>
                <w:color w:val="FF0000"/>
                <w:sz w:val="24"/>
                <w:szCs w:val="24"/>
              </w:rPr>
            </w:pPr>
            <w:r>
              <w:rPr>
                <w:rFonts w:asciiTheme="minorHAnsi" w:hAnsiTheme="minorHAnsi"/>
                <w:b/>
                <w:bCs/>
                <w:color w:val="FF0000"/>
                <w:sz w:val="24"/>
                <w:szCs w:val="24"/>
              </w:rPr>
              <w:t>184</w:t>
            </w:r>
            <w:r w:rsidR="00140EF4" w:rsidRPr="00140EF4">
              <w:rPr>
                <w:rStyle w:val="FootnoteReference"/>
                <w:rFonts w:asciiTheme="minorHAnsi" w:hAnsiTheme="minorHAnsi"/>
                <w:b/>
                <w:color w:val="FF0000"/>
                <w:sz w:val="24"/>
                <w:szCs w:val="24"/>
              </w:rPr>
              <w:footnoteReference w:id="1"/>
            </w:r>
          </w:p>
        </w:tc>
      </w:tr>
      <w:tr w:rsidR="00140EF4" w:rsidRPr="00A16353" w:rsidTr="00E25F36">
        <w:trPr>
          <w:trHeight w:val="255"/>
        </w:trPr>
        <w:tc>
          <w:tcPr>
            <w:tcW w:w="1815" w:type="dxa"/>
            <w:noWrap/>
            <w:tcMar>
              <w:top w:w="15" w:type="dxa"/>
              <w:left w:w="15" w:type="dxa"/>
              <w:bottom w:w="0" w:type="dxa"/>
              <w:right w:w="15" w:type="dxa"/>
            </w:tcMar>
            <w:vAlign w:val="center"/>
          </w:tcPr>
          <w:p w:rsidR="00140EF4" w:rsidRPr="00A16353" w:rsidRDefault="00140EF4" w:rsidP="00BC26BC">
            <w:pPr>
              <w:rPr>
                <w:rFonts w:asciiTheme="minorHAnsi" w:eastAsia="Arial Unicode MS" w:hAnsiTheme="minorHAnsi"/>
                <w:sz w:val="16"/>
                <w:szCs w:val="16"/>
              </w:rPr>
            </w:pPr>
            <w:r w:rsidRPr="00A16353">
              <w:rPr>
                <w:rFonts w:asciiTheme="minorHAnsi" w:hAnsiTheme="minorHAnsi"/>
                <w:sz w:val="16"/>
                <w:szCs w:val="16"/>
              </w:rPr>
              <w:t>Current Situation Index</w:t>
            </w:r>
          </w:p>
        </w:tc>
        <w:tc>
          <w:tcPr>
            <w:tcW w:w="630" w:type="dxa"/>
          </w:tcPr>
          <w:p w:rsidR="00140EF4" w:rsidRPr="00F80F97" w:rsidRDefault="00140EF4" w:rsidP="00345ED2">
            <w:pPr>
              <w:jc w:val="center"/>
              <w:rPr>
                <w:rFonts w:asciiTheme="minorHAnsi" w:hAnsiTheme="minorHAnsi"/>
                <w:bCs/>
                <w:sz w:val="24"/>
                <w:szCs w:val="24"/>
              </w:rPr>
            </w:pPr>
            <w:r w:rsidRPr="00F80F97">
              <w:rPr>
                <w:rFonts w:asciiTheme="minorHAnsi" w:hAnsiTheme="minorHAnsi"/>
                <w:bCs/>
                <w:sz w:val="24"/>
                <w:szCs w:val="24"/>
              </w:rPr>
              <w:t>-99</w:t>
            </w:r>
          </w:p>
        </w:tc>
        <w:tc>
          <w:tcPr>
            <w:tcW w:w="630" w:type="dxa"/>
          </w:tcPr>
          <w:p w:rsidR="00140EF4" w:rsidRPr="00F80F97" w:rsidRDefault="00140EF4" w:rsidP="00345ED2">
            <w:pPr>
              <w:jc w:val="center"/>
              <w:rPr>
                <w:rFonts w:asciiTheme="minorHAnsi" w:hAnsiTheme="minorHAnsi"/>
                <w:bCs/>
                <w:sz w:val="24"/>
                <w:szCs w:val="24"/>
              </w:rPr>
            </w:pPr>
            <w:r w:rsidRPr="00F80F97">
              <w:rPr>
                <w:rFonts w:asciiTheme="minorHAnsi" w:hAnsiTheme="minorHAnsi"/>
                <w:bCs/>
                <w:sz w:val="24"/>
                <w:szCs w:val="24"/>
              </w:rPr>
              <w:t>-86</w:t>
            </w:r>
          </w:p>
        </w:tc>
        <w:tc>
          <w:tcPr>
            <w:tcW w:w="630" w:type="dxa"/>
          </w:tcPr>
          <w:p w:rsidR="00140EF4" w:rsidRPr="00F80F97" w:rsidRDefault="00140EF4" w:rsidP="00345ED2">
            <w:pPr>
              <w:jc w:val="center"/>
              <w:rPr>
                <w:rFonts w:asciiTheme="minorHAnsi" w:hAnsiTheme="minorHAnsi"/>
                <w:bCs/>
                <w:sz w:val="24"/>
                <w:szCs w:val="24"/>
              </w:rPr>
            </w:pPr>
            <w:r w:rsidRPr="00F80F97">
              <w:rPr>
                <w:rFonts w:asciiTheme="minorHAnsi" w:hAnsiTheme="minorHAnsi"/>
                <w:bCs/>
                <w:sz w:val="24"/>
                <w:szCs w:val="24"/>
              </w:rPr>
              <w:t>-93</w:t>
            </w:r>
          </w:p>
        </w:tc>
        <w:tc>
          <w:tcPr>
            <w:tcW w:w="630" w:type="dxa"/>
          </w:tcPr>
          <w:p w:rsidR="00140EF4" w:rsidRPr="00F80F97" w:rsidRDefault="00140EF4" w:rsidP="00345ED2">
            <w:pPr>
              <w:jc w:val="center"/>
              <w:rPr>
                <w:rFonts w:asciiTheme="minorHAnsi" w:hAnsiTheme="minorHAnsi"/>
                <w:bCs/>
                <w:sz w:val="24"/>
                <w:szCs w:val="24"/>
              </w:rPr>
            </w:pPr>
            <w:r w:rsidRPr="00F80F97">
              <w:rPr>
                <w:rFonts w:asciiTheme="minorHAnsi" w:hAnsiTheme="minorHAnsi"/>
                <w:bCs/>
                <w:sz w:val="24"/>
                <w:szCs w:val="24"/>
              </w:rPr>
              <w:t>-90</w:t>
            </w:r>
          </w:p>
        </w:tc>
        <w:tc>
          <w:tcPr>
            <w:tcW w:w="630" w:type="dxa"/>
          </w:tcPr>
          <w:p w:rsidR="00140EF4" w:rsidRPr="00F80F97" w:rsidRDefault="00140EF4" w:rsidP="00345ED2">
            <w:pPr>
              <w:jc w:val="center"/>
              <w:rPr>
                <w:rFonts w:asciiTheme="minorHAnsi" w:hAnsiTheme="minorHAnsi"/>
                <w:bCs/>
                <w:sz w:val="24"/>
                <w:szCs w:val="24"/>
              </w:rPr>
            </w:pPr>
            <w:r w:rsidRPr="00F80F97">
              <w:rPr>
                <w:rFonts w:asciiTheme="minorHAnsi" w:hAnsiTheme="minorHAnsi"/>
                <w:bCs/>
                <w:sz w:val="24"/>
                <w:szCs w:val="24"/>
              </w:rPr>
              <w:t>-74</w:t>
            </w:r>
          </w:p>
        </w:tc>
        <w:tc>
          <w:tcPr>
            <w:tcW w:w="630" w:type="dxa"/>
          </w:tcPr>
          <w:p w:rsidR="00140EF4" w:rsidRPr="0022312B" w:rsidRDefault="00140EF4" w:rsidP="00345ED2">
            <w:pPr>
              <w:jc w:val="center"/>
              <w:rPr>
                <w:rFonts w:asciiTheme="minorHAnsi" w:hAnsiTheme="minorHAnsi"/>
                <w:bCs/>
                <w:sz w:val="24"/>
                <w:szCs w:val="24"/>
              </w:rPr>
            </w:pPr>
            <w:r w:rsidRPr="0022312B">
              <w:rPr>
                <w:rFonts w:asciiTheme="minorHAnsi" w:hAnsiTheme="minorHAnsi"/>
                <w:bCs/>
                <w:sz w:val="24"/>
                <w:szCs w:val="24"/>
              </w:rPr>
              <w:t>-83</w:t>
            </w:r>
          </w:p>
        </w:tc>
        <w:tc>
          <w:tcPr>
            <w:tcW w:w="630" w:type="dxa"/>
          </w:tcPr>
          <w:p w:rsidR="00140EF4" w:rsidRPr="0022312B" w:rsidRDefault="00140EF4" w:rsidP="00345ED2">
            <w:pPr>
              <w:jc w:val="center"/>
              <w:rPr>
                <w:rFonts w:asciiTheme="minorHAnsi" w:hAnsiTheme="minorHAnsi"/>
                <w:bCs/>
                <w:sz w:val="24"/>
                <w:szCs w:val="24"/>
              </w:rPr>
            </w:pPr>
            <w:r w:rsidRPr="0022312B">
              <w:rPr>
                <w:rFonts w:asciiTheme="minorHAnsi" w:hAnsiTheme="minorHAnsi"/>
                <w:bCs/>
                <w:sz w:val="24"/>
                <w:szCs w:val="24"/>
              </w:rPr>
              <w:t>-80</w:t>
            </w:r>
          </w:p>
        </w:tc>
        <w:tc>
          <w:tcPr>
            <w:tcW w:w="540" w:type="dxa"/>
          </w:tcPr>
          <w:p w:rsidR="00140EF4" w:rsidRPr="0022312B" w:rsidRDefault="00140EF4" w:rsidP="00345ED2">
            <w:pPr>
              <w:jc w:val="center"/>
              <w:rPr>
                <w:rFonts w:asciiTheme="minorHAnsi" w:hAnsiTheme="minorHAnsi"/>
                <w:bCs/>
                <w:sz w:val="24"/>
                <w:szCs w:val="24"/>
              </w:rPr>
            </w:pPr>
            <w:r w:rsidRPr="0022312B">
              <w:rPr>
                <w:rFonts w:asciiTheme="minorHAnsi" w:hAnsiTheme="minorHAnsi"/>
                <w:bCs/>
                <w:sz w:val="24"/>
                <w:szCs w:val="24"/>
              </w:rPr>
              <w:t>-86</w:t>
            </w:r>
          </w:p>
        </w:tc>
        <w:tc>
          <w:tcPr>
            <w:tcW w:w="630" w:type="dxa"/>
          </w:tcPr>
          <w:p w:rsidR="00140EF4" w:rsidRPr="0022312B" w:rsidRDefault="00140EF4" w:rsidP="00345ED2">
            <w:pPr>
              <w:jc w:val="center"/>
              <w:rPr>
                <w:rFonts w:asciiTheme="minorHAnsi" w:hAnsiTheme="minorHAnsi"/>
                <w:bCs/>
                <w:sz w:val="24"/>
                <w:szCs w:val="24"/>
              </w:rPr>
            </w:pPr>
            <w:r w:rsidRPr="0022312B">
              <w:rPr>
                <w:rFonts w:asciiTheme="minorHAnsi" w:hAnsiTheme="minorHAnsi"/>
                <w:bCs/>
                <w:sz w:val="24"/>
                <w:szCs w:val="24"/>
              </w:rPr>
              <w:t>-64</w:t>
            </w:r>
          </w:p>
        </w:tc>
        <w:tc>
          <w:tcPr>
            <w:tcW w:w="630" w:type="dxa"/>
          </w:tcPr>
          <w:p w:rsidR="00140EF4" w:rsidRPr="00140EF4" w:rsidRDefault="00140EF4" w:rsidP="00345ED2">
            <w:pPr>
              <w:jc w:val="center"/>
              <w:rPr>
                <w:rFonts w:asciiTheme="minorHAnsi" w:hAnsiTheme="minorHAnsi"/>
                <w:bCs/>
                <w:sz w:val="24"/>
                <w:szCs w:val="24"/>
              </w:rPr>
            </w:pPr>
            <w:r w:rsidRPr="00140EF4">
              <w:rPr>
                <w:rFonts w:asciiTheme="minorHAnsi" w:hAnsiTheme="minorHAnsi"/>
                <w:bCs/>
                <w:sz w:val="24"/>
                <w:szCs w:val="24"/>
              </w:rPr>
              <w:t>-55</w:t>
            </w:r>
          </w:p>
        </w:tc>
        <w:tc>
          <w:tcPr>
            <w:tcW w:w="720" w:type="dxa"/>
          </w:tcPr>
          <w:p w:rsidR="00140EF4" w:rsidRPr="00140EF4" w:rsidRDefault="007A4C2B" w:rsidP="007A4C2B">
            <w:pPr>
              <w:jc w:val="center"/>
              <w:rPr>
                <w:rFonts w:asciiTheme="minorHAnsi" w:hAnsiTheme="minorHAnsi"/>
                <w:b/>
                <w:bCs/>
                <w:color w:val="FF0000"/>
                <w:sz w:val="24"/>
                <w:szCs w:val="24"/>
              </w:rPr>
            </w:pPr>
            <w:r>
              <w:rPr>
                <w:rFonts w:asciiTheme="minorHAnsi" w:hAnsiTheme="minorHAnsi"/>
                <w:b/>
                <w:bCs/>
                <w:color w:val="FF0000"/>
                <w:sz w:val="24"/>
                <w:szCs w:val="24"/>
              </w:rPr>
              <w:t>-24</w:t>
            </w:r>
          </w:p>
        </w:tc>
      </w:tr>
      <w:tr w:rsidR="00140EF4" w:rsidRPr="00A16353" w:rsidTr="00E25F36">
        <w:trPr>
          <w:trHeight w:val="255"/>
        </w:trPr>
        <w:tc>
          <w:tcPr>
            <w:tcW w:w="1815" w:type="dxa"/>
            <w:noWrap/>
            <w:tcMar>
              <w:top w:w="15" w:type="dxa"/>
              <w:left w:w="15" w:type="dxa"/>
              <w:bottom w:w="0" w:type="dxa"/>
              <w:right w:w="15" w:type="dxa"/>
            </w:tcMar>
            <w:vAlign w:val="center"/>
          </w:tcPr>
          <w:p w:rsidR="00140EF4" w:rsidRPr="00A16353" w:rsidRDefault="00140EF4" w:rsidP="00BC26BC">
            <w:pPr>
              <w:rPr>
                <w:rFonts w:asciiTheme="minorHAnsi" w:eastAsia="Arial Unicode MS" w:hAnsiTheme="minorHAnsi"/>
                <w:sz w:val="16"/>
                <w:szCs w:val="16"/>
              </w:rPr>
            </w:pPr>
            <w:r w:rsidRPr="00A16353">
              <w:rPr>
                <w:rFonts w:asciiTheme="minorHAnsi" w:hAnsiTheme="minorHAnsi"/>
                <w:sz w:val="16"/>
                <w:szCs w:val="16"/>
              </w:rPr>
              <w:t>Future Expectations Index</w:t>
            </w:r>
          </w:p>
        </w:tc>
        <w:tc>
          <w:tcPr>
            <w:tcW w:w="630" w:type="dxa"/>
          </w:tcPr>
          <w:p w:rsidR="00140EF4" w:rsidRPr="00F80F97" w:rsidRDefault="00140EF4" w:rsidP="00345ED2">
            <w:pPr>
              <w:jc w:val="center"/>
              <w:rPr>
                <w:rFonts w:asciiTheme="minorHAnsi" w:hAnsiTheme="minorHAnsi"/>
                <w:bCs/>
                <w:sz w:val="24"/>
                <w:szCs w:val="24"/>
              </w:rPr>
            </w:pPr>
            <w:r w:rsidRPr="00F80F97">
              <w:rPr>
                <w:rFonts w:asciiTheme="minorHAnsi" w:hAnsiTheme="minorHAnsi"/>
                <w:bCs/>
                <w:sz w:val="24"/>
                <w:szCs w:val="24"/>
              </w:rPr>
              <w:t>117</w:t>
            </w:r>
          </w:p>
        </w:tc>
        <w:tc>
          <w:tcPr>
            <w:tcW w:w="630" w:type="dxa"/>
          </w:tcPr>
          <w:p w:rsidR="00140EF4" w:rsidRPr="00F80F97" w:rsidRDefault="00140EF4" w:rsidP="00345ED2">
            <w:pPr>
              <w:jc w:val="center"/>
              <w:rPr>
                <w:rFonts w:asciiTheme="minorHAnsi" w:hAnsiTheme="minorHAnsi"/>
                <w:bCs/>
                <w:sz w:val="24"/>
                <w:szCs w:val="24"/>
              </w:rPr>
            </w:pPr>
            <w:r w:rsidRPr="00F80F97">
              <w:rPr>
                <w:rFonts w:asciiTheme="minorHAnsi" w:hAnsiTheme="minorHAnsi"/>
                <w:bCs/>
                <w:sz w:val="24"/>
                <w:szCs w:val="24"/>
              </w:rPr>
              <w:t>98</w:t>
            </w:r>
          </w:p>
        </w:tc>
        <w:tc>
          <w:tcPr>
            <w:tcW w:w="630" w:type="dxa"/>
          </w:tcPr>
          <w:p w:rsidR="00140EF4" w:rsidRPr="00F80F97" w:rsidRDefault="00140EF4" w:rsidP="00345ED2">
            <w:pPr>
              <w:jc w:val="center"/>
              <w:rPr>
                <w:rFonts w:asciiTheme="minorHAnsi" w:hAnsiTheme="minorHAnsi"/>
                <w:bCs/>
                <w:sz w:val="24"/>
                <w:szCs w:val="24"/>
              </w:rPr>
            </w:pPr>
            <w:r w:rsidRPr="00F80F97">
              <w:rPr>
                <w:rFonts w:asciiTheme="minorHAnsi" w:hAnsiTheme="minorHAnsi"/>
                <w:bCs/>
                <w:sz w:val="24"/>
                <w:szCs w:val="24"/>
              </w:rPr>
              <w:t>99</w:t>
            </w:r>
          </w:p>
        </w:tc>
        <w:tc>
          <w:tcPr>
            <w:tcW w:w="630" w:type="dxa"/>
          </w:tcPr>
          <w:p w:rsidR="00140EF4" w:rsidRPr="00F80F97" w:rsidRDefault="00140EF4" w:rsidP="00345ED2">
            <w:pPr>
              <w:jc w:val="center"/>
              <w:rPr>
                <w:rFonts w:asciiTheme="minorHAnsi" w:hAnsiTheme="minorHAnsi"/>
                <w:bCs/>
                <w:sz w:val="24"/>
                <w:szCs w:val="24"/>
              </w:rPr>
            </w:pPr>
            <w:r w:rsidRPr="00F80F97">
              <w:rPr>
                <w:rFonts w:asciiTheme="minorHAnsi" w:hAnsiTheme="minorHAnsi"/>
                <w:bCs/>
                <w:sz w:val="24"/>
                <w:szCs w:val="24"/>
              </w:rPr>
              <w:t>86</w:t>
            </w:r>
          </w:p>
        </w:tc>
        <w:tc>
          <w:tcPr>
            <w:tcW w:w="630" w:type="dxa"/>
          </w:tcPr>
          <w:p w:rsidR="00140EF4" w:rsidRPr="00F80F97" w:rsidRDefault="00140EF4" w:rsidP="00345ED2">
            <w:pPr>
              <w:jc w:val="center"/>
              <w:rPr>
                <w:rFonts w:asciiTheme="minorHAnsi" w:hAnsiTheme="minorHAnsi"/>
                <w:bCs/>
                <w:sz w:val="24"/>
                <w:szCs w:val="24"/>
              </w:rPr>
            </w:pPr>
            <w:r w:rsidRPr="00F80F97">
              <w:rPr>
                <w:rFonts w:asciiTheme="minorHAnsi" w:hAnsiTheme="minorHAnsi"/>
                <w:bCs/>
                <w:sz w:val="24"/>
                <w:szCs w:val="24"/>
              </w:rPr>
              <w:t>123</w:t>
            </w:r>
          </w:p>
        </w:tc>
        <w:tc>
          <w:tcPr>
            <w:tcW w:w="630" w:type="dxa"/>
          </w:tcPr>
          <w:p w:rsidR="00140EF4" w:rsidRPr="0022312B" w:rsidRDefault="00140EF4" w:rsidP="00345ED2">
            <w:pPr>
              <w:jc w:val="center"/>
              <w:rPr>
                <w:rFonts w:asciiTheme="minorHAnsi" w:hAnsiTheme="minorHAnsi"/>
                <w:bCs/>
                <w:sz w:val="24"/>
                <w:szCs w:val="24"/>
              </w:rPr>
            </w:pPr>
            <w:r w:rsidRPr="0022312B">
              <w:rPr>
                <w:rFonts w:asciiTheme="minorHAnsi" w:hAnsiTheme="minorHAnsi"/>
                <w:bCs/>
                <w:sz w:val="24"/>
                <w:szCs w:val="24"/>
              </w:rPr>
              <w:t>75</w:t>
            </w:r>
          </w:p>
        </w:tc>
        <w:tc>
          <w:tcPr>
            <w:tcW w:w="630" w:type="dxa"/>
          </w:tcPr>
          <w:p w:rsidR="00140EF4" w:rsidRPr="0022312B" w:rsidRDefault="00140EF4" w:rsidP="00345ED2">
            <w:pPr>
              <w:jc w:val="center"/>
              <w:rPr>
                <w:rFonts w:asciiTheme="minorHAnsi" w:hAnsiTheme="minorHAnsi"/>
                <w:bCs/>
                <w:sz w:val="24"/>
                <w:szCs w:val="24"/>
              </w:rPr>
            </w:pPr>
            <w:r w:rsidRPr="0022312B">
              <w:rPr>
                <w:rFonts w:asciiTheme="minorHAnsi" w:hAnsiTheme="minorHAnsi"/>
                <w:bCs/>
                <w:sz w:val="24"/>
                <w:szCs w:val="24"/>
              </w:rPr>
              <w:t>99</w:t>
            </w:r>
          </w:p>
        </w:tc>
        <w:tc>
          <w:tcPr>
            <w:tcW w:w="540" w:type="dxa"/>
          </w:tcPr>
          <w:p w:rsidR="00140EF4" w:rsidRPr="0022312B" w:rsidRDefault="00140EF4" w:rsidP="00345ED2">
            <w:pPr>
              <w:jc w:val="center"/>
              <w:rPr>
                <w:rFonts w:asciiTheme="minorHAnsi" w:hAnsiTheme="minorHAnsi"/>
                <w:bCs/>
                <w:sz w:val="24"/>
                <w:szCs w:val="24"/>
              </w:rPr>
            </w:pPr>
            <w:r w:rsidRPr="0022312B">
              <w:rPr>
                <w:rFonts w:asciiTheme="minorHAnsi" w:hAnsiTheme="minorHAnsi"/>
                <w:bCs/>
                <w:sz w:val="24"/>
                <w:szCs w:val="24"/>
              </w:rPr>
              <w:t>59</w:t>
            </w:r>
          </w:p>
        </w:tc>
        <w:tc>
          <w:tcPr>
            <w:tcW w:w="630" w:type="dxa"/>
          </w:tcPr>
          <w:p w:rsidR="00140EF4" w:rsidRPr="0022312B" w:rsidRDefault="00140EF4" w:rsidP="00345ED2">
            <w:pPr>
              <w:jc w:val="center"/>
              <w:rPr>
                <w:rFonts w:asciiTheme="minorHAnsi" w:hAnsiTheme="minorHAnsi"/>
                <w:bCs/>
                <w:sz w:val="24"/>
                <w:szCs w:val="24"/>
              </w:rPr>
            </w:pPr>
            <w:r w:rsidRPr="0022312B">
              <w:rPr>
                <w:rFonts w:asciiTheme="minorHAnsi" w:hAnsiTheme="minorHAnsi"/>
                <w:bCs/>
                <w:sz w:val="24"/>
                <w:szCs w:val="24"/>
              </w:rPr>
              <w:t>97</w:t>
            </w:r>
          </w:p>
        </w:tc>
        <w:tc>
          <w:tcPr>
            <w:tcW w:w="630" w:type="dxa"/>
          </w:tcPr>
          <w:p w:rsidR="00140EF4" w:rsidRPr="00140EF4" w:rsidRDefault="00140EF4" w:rsidP="00345ED2">
            <w:pPr>
              <w:jc w:val="center"/>
              <w:rPr>
                <w:rFonts w:asciiTheme="minorHAnsi" w:hAnsiTheme="minorHAnsi"/>
                <w:bCs/>
                <w:sz w:val="24"/>
                <w:szCs w:val="24"/>
              </w:rPr>
            </w:pPr>
            <w:r w:rsidRPr="00140EF4">
              <w:rPr>
                <w:rFonts w:asciiTheme="minorHAnsi" w:hAnsiTheme="minorHAnsi"/>
                <w:bCs/>
                <w:sz w:val="24"/>
                <w:szCs w:val="24"/>
              </w:rPr>
              <w:t>125</w:t>
            </w:r>
          </w:p>
        </w:tc>
        <w:tc>
          <w:tcPr>
            <w:tcW w:w="720" w:type="dxa"/>
          </w:tcPr>
          <w:p w:rsidR="00140EF4" w:rsidRPr="00140EF4" w:rsidRDefault="007A4C2B" w:rsidP="007A4C2B">
            <w:pPr>
              <w:jc w:val="center"/>
              <w:rPr>
                <w:rFonts w:asciiTheme="minorHAnsi" w:hAnsiTheme="minorHAnsi"/>
                <w:b/>
                <w:bCs/>
                <w:color w:val="FF0000"/>
                <w:sz w:val="24"/>
                <w:szCs w:val="24"/>
              </w:rPr>
            </w:pPr>
            <w:r>
              <w:rPr>
                <w:rFonts w:asciiTheme="minorHAnsi" w:hAnsiTheme="minorHAnsi"/>
                <w:b/>
                <w:bCs/>
                <w:color w:val="FF0000"/>
                <w:sz w:val="24"/>
                <w:szCs w:val="24"/>
              </w:rPr>
              <w:t>115</w:t>
            </w:r>
          </w:p>
        </w:tc>
      </w:tr>
      <w:tr w:rsidR="00140EF4" w:rsidRPr="00A16353" w:rsidTr="00E25F36">
        <w:trPr>
          <w:trHeight w:val="255"/>
        </w:trPr>
        <w:tc>
          <w:tcPr>
            <w:tcW w:w="1815" w:type="dxa"/>
            <w:noWrap/>
            <w:tcMar>
              <w:top w:w="15" w:type="dxa"/>
              <w:left w:w="15" w:type="dxa"/>
              <w:bottom w:w="0" w:type="dxa"/>
              <w:right w:w="15" w:type="dxa"/>
            </w:tcMar>
            <w:vAlign w:val="center"/>
          </w:tcPr>
          <w:p w:rsidR="00140EF4" w:rsidRPr="00A16353" w:rsidRDefault="00140EF4" w:rsidP="00BC26BC">
            <w:pPr>
              <w:rPr>
                <w:rFonts w:asciiTheme="minorHAnsi" w:eastAsia="Arial Unicode MS" w:hAnsiTheme="minorHAnsi"/>
                <w:sz w:val="16"/>
                <w:szCs w:val="16"/>
              </w:rPr>
            </w:pPr>
            <w:r w:rsidRPr="00A16353">
              <w:rPr>
                <w:rFonts w:asciiTheme="minorHAnsi" w:hAnsiTheme="minorHAnsi"/>
                <w:sz w:val="16"/>
                <w:szCs w:val="16"/>
              </w:rPr>
              <w:t>Purchasing Index</w:t>
            </w:r>
          </w:p>
        </w:tc>
        <w:tc>
          <w:tcPr>
            <w:tcW w:w="630" w:type="dxa"/>
          </w:tcPr>
          <w:p w:rsidR="00140EF4" w:rsidRPr="00F80F97" w:rsidRDefault="00140EF4" w:rsidP="00345ED2">
            <w:pPr>
              <w:jc w:val="center"/>
              <w:rPr>
                <w:rFonts w:asciiTheme="minorHAnsi" w:hAnsiTheme="minorHAnsi"/>
                <w:bCs/>
                <w:sz w:val="24"/>
                <w:szCs w:val="24"/>
              </w:rPr>
            </w:pPr>
            <w:r w:rsidRPr="00F80F97">
              <w:rPr>
                <w:rFonts w:asciiTheme="minorHAnsi" w:hAnsiTheme="minorHAnsi"/>
                <w:bCs/>
                <w:sz w:val="24"/>
                <w:szCs w:val="24"/>
              </w:rPr>
              <w:t>81</w:t>
            </w:r>
          </w:p>
        </w:tc>
        <w:tc>
          <w:tcPr>
            <w:tcW w:w="630" w:type="dxa"/>
          </w:tcPr>
          <w:p w:rsidR="00140EF4" w:rsidRPr="00F80F97" w:rsidRDefault="00140EF4" w:rsidP="00345ED2">
            <w:pPr>
              <w:jc w:val="center"/>
              <w:rPr>
                <w:rFonts w:asciiTheme="minorHAnsi" w:hAnsiTheme="minorHAnsi"/>
                <w:bCs/>
                <w:sz w:val="24"/>
                <w:szCs w:val="24"/>
              </w:rPr>
            </w:pPr>
            <w:r w:rsidRPr="00F80F97">
              <w:rPr>
                <w:rFonts w:asciiTheme="minorHAnsi" w:hAnsiTheme="minorHAnsi"/>
                <w:bCs/>
                <w:sz w:val="24"/>
                <w:szCs w:val="24"/>
              </w:rPr>
              <w:t>90</w:t>
            </w:r>
          </w:p>
        </w:tc>
        <w:tc>
          <w:tcPr>
            <w:tcW w:w="630" w:type="dxa"/>
          </w:tcPr>
          <w:p w:rsidR="00140EF4" w:rsidRPr="00F80F97" w:rsidRDefault="00140EF4" w:rsidP="00345ED2">
            <w:pPr>
              <w:jc w:val="center"/>
              <w:rPr>
                <w:rFonts w:asciiTheme="minorHAnsi" w:hAnsiTheme="minorHAnsi"/>
                <w:bCs/>
                <w:sz w:val="24"/>
                <w:szCs w:val="24"/>
              </w:rPr>
            </w:pPr>
            <w:r w:rsidRPr="00F80F97">
              <w:rPr>
                <w:rFonts w:asciiTheme="minorHAnsi" w:hAnsiTheme="minorHAnsi"/>
                <w:bCs/>
                <w:sz w:val="24"/>
                <w:szCs w:val="24"/>
              </w:rPr>
              <w:t>70</w:t>
            </w:r>
          </w:p>
        </w:tc>
        <w:tc>
          <w:tcPr>
            <w:tcW w:w="630" w:type="dxa"/>
          </w:tcPr>
          <w:p w:rsidR="00140EF4" w:rsidRPr="00F80F97" w:rsidRDefault="00140EF4" w:rsidP="00345ED2">
            <w:pPr>
              <w:jc w:val="center"/>
              <w:rPr>
                <w:rFonts w:asciiTheme="minorHAnsi" w:hAnsiTheme="minorHAnsi"/>
                <w:bCs/>
                <w:sz w:val="24"/>
                <w:szCs w:val="24"/>
              </w:rPr>
            </w:pPr>
            <w:r w:rsidRPr="00F80F97">
              <w:rPr>
                <w:rFonts w:asciiTheme="minorHAnsi" w:hAnsiTheme="minorHAnsi"/>
                <w:bCs/>
                <w:sz w:val="24"/>
                <w:szCs w:val="24"/>
              </w:rPr>
              <w:t>73</w:t>
            </w:r>
          </w:p>
        </w:tc>
        <w:tc>
          <w:tcPr>
            <w:tcW w:w="630" w:type="dxa"/>
          </w:tcPr>
          <w:p w:rsidR="00140EF4" w:rsidRPr="00F80F97" w:rsidRDefault="00140EF4" w:rsidP="00345ED2">
            <w:pPr>
              <w:jc w:val="center"/>
              <w:rPr>
                <w:rFonts w:asciiTheme="minorHAnsi" w:hAnsiTheme="minorHAnsi"/>
                <w:bCs/>
                <w:sz w:val="24"/>
                <w:szCs w:val="24"/>
              </w:rPr>
            </w:pPr>
            <w:r w:rsidRPr="00F80F97">
              <w:rPr>
                <w:rFonts w:asciiTheme="minorHAnsi" w:hAnsiTheme="minorHAnsi"/>
                <w:bCs/>
                <w:sz w:val="24"/>
                <w:szCs w:val="24"/>
              </w:rPr>
              <w:t>80</w:t>
            </w:r>
          </w:p>
        </w:tc>
        <w:tc>
          <w:tcPr>
            <w:tcW w:w="630" w:type="dxa"/>
          </w:tcPr>
          <w:p w:rsidR="00140EF4" w:rsidRPr="0022312B" w:rsidRDefault="00140EF4" w:rsidP="00345ED2">
            <w:pPr>
              <w:jc w:val="center"/>
              <w:rPr>
                <w:rFonts w:asciiTheme="minorHAnsi" w:hAnsiTheme="minorHAnsi"/>
                <w:bCs/>
                <w:sz w:val="24"/>
                <w:szCs w:val="24"/>
              </w:rPr>
            </w:pPr>
            <w:r w:rsidRPr="0022312B">
              <w:rPr>
                <w:rFonts w:asciiTheme="minorHAnsi" w:hAnsiTheme="minorHAnsi"/>
                <w:bCs/>
                <w:sz w:val="24"/>
                <w:szCs w:val="24"/>
              </w:rPr>
              <w:t>62</w:t>
            </w:r>
          </w:p>
        </w:tc>
        <w:tc>
          <w:tcPr>
            <w:tcW w:w="630" w:type="dxa"/>
          </w:tcPr>
          <w:p w:rsidR="00140EF4" w:rsidRPr="0022312B" w:rsidRDefault="00140EF4" w:rsidP="00345ED2">
            <w:pPr>
              <w:jc w:val="center"/>
              <w:rPr>
                <w:rFonts w:asciiTheme="minorHAnsi" w:hAnsiTheme="minorHAnsi"/>
                <w:bCs/>
                <w:sz w:val="24"/>
                <w:szCs w:val="24"/>
              </w:rPr>
            </w:pPr>
            <w:r w:rsidRPr="0022312B">
              <w:rPr>
                <w:rFonts w:asciiTheme="minorHAnsi" w:hAnsiTheme="minorHAnsi"/>
                <w:bCs/>
                <w:sz w:val="24"/>
                <w:szCs w:val="24"/>
              </w:rPr>
              <w:t>44</w:t>
            </w:r>
          </w:p>
        </w:tc>
        <w:tc>
          <w:tcPr>
            <w:tcW w:w="540" w:type="dxa"/>
          </w:tcPr>
          <w:p w:rsidR="00140EF4" w:rsidRPr="0022312B" w:rsidRDefault="00140EF4" w:rsidP="00345ED2">
            <w:pPr>
              <w:jc w:val="center"/>
              <w:rPr>
                <w:rFonts w:asciiTheme="minorHAnsi" w:hAnsiTheme="minorHAnsi"/>
                <w:bCs/>
                <w:sz w:val="24"/>
                <w:szCs w:val="24"/>
              </w:rPr>
            </w:pPr>
            <w:r w:rsidRPr="0022312B">
              <w:rPr>
                <w:rFonts w:asciiTheme="minorHAnsi" w:hAnsiTheme="minorHAnsi"/>
                <w:bCs/>
                <w:sz w:val="24"/>
                <w:szCs w:val="24"/>
              </w:rPr>
              <w:t>54</w:t>
            </w:r>
          </w:p>
        </w:tc>
        <w:tc>
          <w:tcPr>
            <w:tcW w:w="630" w:type="dxa"/>
          </w:tcPr>
          <w:p w:rsidR="00140EF4" w:rsidRPr="0022312B" w:rsidRDefault="00140EF4" w:rsidP="00345ED2">
            <w:pPr>
              <w:jc w:val="center"/>
              <w:rPr>
                <w:rFonts w:asciiTheme="minorHAnsi" w:hAnsiTheme="minorHAnsi"/>
                <w:bCs/>
                <w:sz w:val="24"/>
                <w:szCs w:val="24"/>
              </w:rPr>
            </w:pPr>
            <w:r w:rsidRPr="0022312B">
              <w:rPr>
                <w:rFonts w:asciiTheme="minorHAnsi" w:hAnsiTheme="minorHAnsi"/>
                <w:bCs/>
                <w:sz w:val="24"/>
                <w:szCs w:val="24"/>
              </w:rPr>
              <w:t>79</w:t>
            </w:r>
          </w:p>
        </w:tc>
        <w:tc>
          <w:tcPr>
            <w:tcW w:w="630" w:type="dxa"/>
          </w:tcPr>
          <w:p w:rsidR="00140EF4" w:rsidRPr="00140EF4" w:rsidRDefault="00140EF4" w:rsidP="00345ED2">
            <w:pPr>
              <w:jc w:val="center"/>
              <w:rPr>
                <w:rFonts w:asciiTheme="minorHAnsi" w:hAnsiTheme="minorHAnsi"/>
                <w:bCs/>
                <w:sz w:val="24"/>
                <w:szCs w:val="24"/>
              </w:rPr>
            </w:pPr>
            <w:r w:rsidRPr="00140EF4">
              <w:rPr>
                <w:rFonts w:asciiTheme="minorHAnsi" w:hAnsiTheme="minorHAnsi"/>
                <w:bCs/>
                <w:sz w:val="24"/>
                <w:szCs w:val="24"/>
              </w:rPr>
              <w:t>81</w:t>
            </w:r>
          </w:p>
        </w:tc>
        <w:tc>
          <w:tcPr>
            <w:tcW w:w="720" w:type="dxa"/>
          </w:tcPr>
          <w:p w:rsidR="00140EF4" w:rsidRPr="00140EF4" w:rsidRDefault="007A4C2B" w:rsidP="007A4C2B">
            <w:pPr>
              <w:jc w:val="center"/>
              <w:rPr>
                <w:rFonts w:asciiTheme="minorHAnsi" w:hAnsiTheme="minorHAnsi"/>
                <w:b/>
                <w:bCs/>
                <w:color w:val="FF0000"/>
                <w:sz w:val="24"/>
                <w:szCs w:val="24"/>
              </w:rPr>
            </w:pPr>
            <w:r>
              <w:rPr>
                <w:rFonts w:asciiTheme="minorHAnsi" w:hAnsiTheme="minorHAnsi"/>
                <w:b/>
                <w:bCs/>
                <w:color w:val="FF0000"/>
                <w:sz w:val="24"/>
                <w:szCs w:val="24"/>
              </w:rPr>
              <w:t>93</w:t>
            </w:r>
          </w:p>
        </w:tc>
      </w:tr>
    </w:tbl>
    <w:p w:rsidR="009821BD" w:rsidRDefault="009821BD" w:rsidP="00A33F25">
      <w:pPr>
        <w:pStyle w:val="BodyText"/>
        <w:jc w:val="both"/>
        <w:rPr>
          <w:rFonts w:asciiTheme="minorHAnsi" w:hAnsiTheme="minorHAnsi"/>
          <w:bCs/>
        </w:rPr>
      </w:pPr>
    </w:p>
    <w:p w:rsidR="001E06A1" w:rsidRDefault="001E06A1" w:rsidP="00BD6A40">
      <w:pPr>
        <w:pStyle w:val="BodyText"/>
        <w:jc w:val="center"/>
        <w:rPr>
          <w:rFonts w:asciiTheme="minorHAnsi" w:hAnsiTheme="minorHAnsi"/>
          <w:b/>
          <w:bCs/>
          <w:u w:val="single"/>
        </w:rPr>
      </w:pPr>
      <w:r>
        <w:rPr>
          <w:rFonts w:asciiTheme="minorHAnsi" w:hAnsiTheme="minorHAnsi"/>
          <w:b/>
          <w:bCs/>
          <w:noProof/>
          <w:u w:val="single"/>
        </w:rPr>
        <w:lastRenderedPageBreak/>
        <w:drawing>
          <wp:inline distT="0" distB="0" distL="0" distR="0" wp14:anchorId="6887B4C2" wp14:editId="392E73C2">
            <wp:extent cx="5557652" cy="4441371"/>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E06A1" w:rsidRDefault="001E06A1" w:rsidP="00BD6A40">
      <w:pPr>
        <w:pStyle w:val="BodyText"/>
        <w:jc w:val="both"/>
        <w:rPr>
          <w:rFonts w:asciiTheme="minorHAnsi" w:hAnsiTheme="minorHAnsi"/>
          <w:b/>
          <w:bCs/>
          <w:u w:val="single"/>
        </w:rPr>
      </w:pPr>
    </w:p>
    <w:p w:rsidR="00E028A8" w:rsidRDefault="00E028A8" w:rsidP="00525FB0">
      <w:pPr>
        <w:pStyle w:val="BodyText"/>
        <w:jc w:val="both"/>
        <w:rPr>
          <w:rFonts w:asciiTheme="minorHAnsi" w:hAnsiTheme="minorHAnsi"/>
          <w:bCs/>
        </w:rPr>
      </w:pPr>
    </w:p>
    <w:p w:rsidR="00525FB0" w:rsidRPr="00A16353" w:rsidRDefault="00525FB0" w:rsidP="00525FB0">
      <w:pPr>
        <w:pStyle w:val="BodyText"/>
        <w:jc w:val="both"/>
        <w:rPr>
          <w:rFonts w:asciiTheme="minorHAnsi" w:hAnsiTheme="minorHAnsi"/>
          <w:bCs/>
        </w:rPr>
      </w:pPr>
      <w:r w:rsidRPr="00A16353">
        <w:rPr>
          <w:rFonts w:asciiTheme="minorHAnsi" w:hAnsiTheme="minorHAnsi"/>
          <w:bCs/>
        </w:rPr>
        <w:t xml:space="preserve">     The </w:t>
      </w:r>
      <w:r w:rsidR="00A07B8D">
        <w:rPr>
          <w:rFonts w:asciiTheme="minorHAnsi" w:hAnsiTheme="minorHAnsi"/>
          <w:bCs/>
        </w:rPr>
        <w:t>consumer outlook index</w:t>
      </w:r>
      <w:r w:rsidRPr="00A16353">
        <w:rPr>
          <w:rFonts w:asciiTheme="minorHAnsi" w:hAnsiTheme="minorHAnsi"/>
          <w:bCs/>
        </w:rPr>
        <w:t xml:space="preserve"> scores are based on consumers’ responses to eleven questions measuring their perceptions of the current economy, the future economy, jobs, personal finances, and whether or not now is a good time to make large purchases.  Four questions make up the current situation index, four questions make up the future expectations index, and three questions make up the purchasing index.  The overall </w:t>
      </w:r>
      <w:r w:rsidR="00EC7C28">
        <w:rPr>
          <w:rFonts w:asciiTheme="minorHAnsi" w:hAnsiTheme="minorHAnsi"/>
          <w:bCs/>
        </w:rPr>
        <w:t xml:space="preserve">outlook </w:t>
      </w:r>
      <w:r w:rsidRPr="00A16353">
        <w:rPr>
          <w:rFonts w:asciiTheme="minorHAnsi" w:hAnsiTheme="minorHAnsi"/>
          <w:bCs/>
        </w:rPr>
        <w:t>index is based on all eleven questions combined</w:t>
      </w:r>
      <w:r>
        <w:rPr>
          <w:rFonts w:asciiTheme="minorHAnsi" w:hAnsiTheme="minorHAnsi"/>
          <w:bCs/>
        </w:rPr>
        <w:t xml:space="preserve"> (the complete questions are shown </w:t>
      </w:r>
      <w:r w:rsidR="00EC7C28">
        <w:rPr>
          <w:rFonts w:asciiTheme="minorHAnsi" w:hAnsiTheme="minorHAnsi"/>
          <w:bCs/>
        </w:rPr>
        <w:t xml:space="preserve">at the end of this </w:t>
      </w:r>
      <w:r>
        <w:rPr>
          <w:rFonts w:asciiTheme="minorHAnsi" w:hAnsiTheme="minorHAnsi"/>
          <w:bCs/>
        </w:rPr>
        <w:t>report)</w:t>
      </w:r>
      <w:r w:rsidRPr="00A16353">
        <w:rPr>
          <w:rFonts w:asciiTheme="minorHAnsi" w:hAnsiTheme="minorHAnsi"/>
          <w:bCs/>
        </w:rPr>
        <w:t>.</w:t>
      </w:r>
    </w:p>
    <w:p w:rsidR="00525FB0" w:rsidRPr="00A16353" w:rsidRDefault="00525FB0" w:rsidP="00525FB0">
      <w:pPr>
        <w:pStyle w:val="BodyText"/>
        <w:jc w:val="both"/>
        <w:rPr>
          <w:rFonts w:asciiTheme="minorHAnsi" w:hAnsiTheme="minorHAnsi"/>
          <w:bCs/>
        </w:rPr>
      </w:pPr>
      <w:r>
        <w:rPr>
          <w:rFonts w:asciiTheme="minorHAnsi" w:hAnsiTheme="minorHAnsi"/>
          <w:bCs/>
        </w:rPr>
        <w:t xml:space="preserve">  </w:t>
      </w:r>
    </w:p>
    <w:p w:rsidR="00525FB0" w:rsidRPr="00A16353" w:rsidRDefault="00525FB0" w:rsidP="00525FB0">
      <w:pPr>
        <w:pStyle w:val="BodyText"/>
        <w:jc w:val="both"/>
        <w:rPr>
          <w:rFonts w:asciiTheme="minorHAnsi" w:hAnsiTheme="minorHAnsi"/>
          <w:bCs/>
        </w:rPr>
      </w:pPr>
      <w:r w:rsidRPr="00A16353">
        <w:rPr>
          <w:rFonts w:asciiTheme="minorHAnsi" w:hAnsiTheme="minorHAnsi"/>
          <w:bCs/>
        </w:rPr>
        <w:t xml:space="preserve">     The scores for each index are computed by </w:t>
      </w:r>
      <w:r w:rsidRPr="00A16353">
        <w:rPr>
          <w:rFonts w:asciiTheme="minorHAnsi" w:hAnsiTheme="minorHAnsi"/>
        </w:rPr>
        <w:t xml:space="preserve">adding the percentage of favorable responses to each question and subtracting the percentage of negative responses to each question.  </w:t>
      </w:r>
      <w:r w:rsidRPr="00A16353">
        <w:rPr>
          <w:rFonts w:asciiTheme="minorHAnsi" w:hAnsiTheme="minorHAnsi"/>
          <w:bCs/>
        </w:rPr>
        <w:t xml:space="preserve">A </w:t>
      </w:r>
      <w:r>
        <w:rPr>
          <w:rFonts w:asciiTheme="minorHAnsi" w:hAnsiTheme="minorHAnsi"/>
          <w:bCs/>
        </w:rPr>
        <w:t xml:space="preserve">net </w:t>
      </w:r>
      <w:r w:rsidRPr="00A16353">
        <w:rPr>
          <w:rFonts w:asciiTheme="minorHAnsi" w:hAnsiTheme="minorHAnsi"/>
          <w:bCs/>
        </w:rPr>
        <w:t>score of zero would indicate that the percentage of consumers who hold negative views of the economy is equal to the percentage of consumers who hold positive views of the economy.  A</w:t>
      </w:r>
      <w:r>
        <w:rPr>
          <w:rFonts w:asciiTheme="minorHAnsi" w:hAnsiTheme="minorHAnsi"/>
          <w:bCs/>
        </w:rPr>
        <w:t xml:space="preserve"> net </w:t>
      </w:r>
      <w:r w:rsidRPr="00A16353">
        <w:rPr>
          <w:rFonts w:asciiTheme="minorHAnsi" w:hAnsiTheme="minorHAnsi"/>
          <w:bCs/>
        </w:rPr>
        <w:t xml:space="preserve">positive score would indicate that the number of consumers who hold positive views of the economy outnumber those who hold negative views of the economy. </w:t>
      </w:r>
    </w:p>
    <w:p w:rsidR="00A67796" w:rsidRDefault="00A67796" w:rsidP="002B3426">
      <w:pPr>
        <w:pStyle w:val="BodyText"/>
        <w:jc w:val="both"/>
        <w:rPr>
          <w:rFonts w:asciiTheme="minorHAnsi" w:hAnsiTheme="minorHAnsi"/>
          <w:bCs/>
        </w:rPr>
      </w:pPr>
    </w:p>
    <w:p w:rsidR="00481431" w:rsidRPr="00A16353" w:rsidRDefault="00481431" w:rsidP="00481431">
      <w:pPr>
        <w:rPr>
          <w:rFonts w:asciiTheme="minorHAnsi" w:hAnsiTheme="minorHAnsi"/>
          <w:bCs/>
          <w:sz w:val="24"/>
        </w:rPr>
      </w:pPr>
      <w:r>
        <w:rPr>
          <w:rFonts w:asciiTheme="minorHAnsi" w:hAnsiTheme="minorHAnsi"/>
          <w:bCs/>
        </w:rPr>
        <w:br w:type="column"/>
      </w:r>
      <w:r w:rsidRPr="00A16353">
        <w:rPr>
          <w:rFonts w:asciiTheme="minorHAnsi" w:hAnsiTheme="minorHAnsi"/>
          <w:b/>
          <w:bCs/>
          <w:sz w:val="24"/>
          <w:u w:val="single"/>
        </w:rPr>
        <w:lastRenderedPageBreak/>
        <w:t>Changes in Consumers’ Perceptions of the Economy</w:t>
      </w:r>
    </w:p>
    <w:p w:rsidR="00481431" w:rsidRPr="00A16353" w:rsidRDefault="00481431" w:rsidP="00481431">
      <w:pPr>
        <w:rPr>
          <w:rFonts w:asciiTheme="minorHAnsi" w:hAnsiTheme="minorHAnsi"/>
          <w:b/>
          <w:bCs/>
          <w:sz w:val="24"/>
          <w:u w:val="single"/>
        </w:rPr>
      </w:pPr>
    </w:p>
    <w:p w:rsidR="00481431" w:rsidRPr="00A16353" w:rsidRDefault="00481431" w:rsidP="00481431">
      <w:pPr>
        <w:rPr>
          <w:rFonts w:asciiTheme="minorHAnsi" w:hAnsiTheme="minorHAnsi"/>
          <w:bCs/>
          <w:sz w:val="24"/>
        </w:rPr>
      </w:pPr>
      <w:r w:rsidRPr="00A16353">
        <w:rPr>
          <w:rFonts w:asciiTheme="minorHAnsi" w:hAnsiTheme="minorHAnsi"/>
          <w:bCs/>
          <w:sz w:val="24"/>
        </w:rPr>
        <w:t xml:space="preserve">     The table below shows how consumers’ responses to selected survey questions have changed since </w:t>
      </w:r>
      <w:r>
        <w:rPr>
          <w:rFonts w:asciiTheme="minorHAnsi" w:hAnsiTheme="minorHAnsi"/>
          <w:bCs/>
          <w:sz w:val="24"/>
        </w:rPr>
        <w:t>January 2012</w:t>
      </w:r>
      <w:r w:rsidRPr="00A16353">
        <w:rPr>
          <w:rFonts w:asciiTheme="minorHAnsi" w:hAnsiTheme="minorHAnsi"/>
          <w:bCs/>
          <w:sz w:val="24"/>
        </w:rPr>
        <w:t>.</w:t>
      </w:r>
    </w:p>
    <w:p w:rsidR="00481431" w:rsidRPr="00A16353" w:rsidRDefault="00481431" w:rsidP="00481431">
      <w:pPr>
        <w:rPr>
          <w:rFonts w:asciiTheme="minorHAnsi" w:hAnsiTheme="minorHAnsi"/>
          <w:bCs/>
          <w:sz w:val="24"/>
        </w:rPr>
      </w:pPr>
    </w:p>
    <w:tbl>
      <w:tblPr>
        <w:tblStyle w:val="MediumShading1-Accent1"/>
        <w:tblW w:w="0" w:type="auto"/>
        <w:tblLook w:val="04A0" w:firstRow="1" w:lastRow="0" w:firstColumn="1" w:lastColumn="0" w:noHBand="0" w:noVBand="1"/>
      </w:tblPr>
      <w:tblGrid>
        <w:gridCol w:w="5778"/>
        <w:gridCol w:w="1440"/>
        <w:gridCol w:w="1638"/>
      </w:tblGrid>
      <w:tr w:rsidR="00481431" w:rsidRPr="00A16353" w:rsidTr="006B566D">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778" w:type="dxa"/>
          </w:tcPr>
          <w:p w:rsidR="00481431" w:rsidRPr="00481431" w:rsidRDefault="00481431" w:rsidP="001A1A56">
            <w:pPr>
              <w:jc w:val="center"/>
              <w:rPr>
                <w:rFonts w:asciiTheme="minorHAnsi" w:hAnsiTheme="minorHAnsi"/>
                <w:b w:val="0"/>
                <w:sz w:val="16"/>
                <w:szCs w:val="16"/>
              </w:rPr>
            </w:pPr>
          </w:p>
        </w:tc>
        <w:tc>
          <w:tcPr>
            <w:tcW w:w="1440" w:type="dxa"/>
          </w:tcPr>
          <w:p w:rsidR="00481431" w:rsidRPr="008D70F0" w:rsidRDefault="00481431" w:rsidP="001A1A5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8D70F0">
              <w:rPr>
                <w:rFonts w:asciiTheme="minorHAnsi" w:hAnsiTheme="minorHAnsi"/>
                <w:sz w:val="24"/>
                <w:szCs w:val="24"/>
              </w:rPr>
              <w:t>April</w:t>
            </w:r>
          </w:p>
          <w:p w:rsidR="00481431" w:rsidRPr="008D70F0" w:rsidRDefault="00481431" w:rsidP="001A1A5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8D70F0">
              <w:rPr>
                <w:rFonts w:asciiTheme="minorHAnsi" w:hAnsiTheme="minorHAnsi"/>
                <w:sz w:val="24"/>
                <w:szCs w:val="24"/>
              </w:rPr>
              <w:t>2012</w:t>
            </w:r>
          </w:p>
          <w:p w:rsidR="00481431" w:rsidRPr="008D70F0" w:rsidRDefault="00481431" w:rsidP="001A1A5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8D70F0">
              <w:rPr>
                <w:rFonts w:asciiTheme="minorHAnsi" w:hAnsiTheme="minorHAnsi"/>
                <w:sz w:val="24"/>
                <w:szCs w:val="24"/>
              </w:rPr>
              <w:t>(%)</w:t>
            </w:r>
          </w:p>
        </w:tc>
        <w:tc>
          <w:tcPr>
            <w:tcW w:w="1638" w:type="dxa"/>
          </w:tcPr>
          <w:p w:rsidR="00481431" w:rsidRPr="008D70F0" w:rsidRDefault="00481431" w:rsidP="001A1A5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8D70F0">
              <w:rPr>
                <w:rFonts w:asciiTheme="minorHAnsi" w:hAnsiTheme="minorHAnsi"/>
                <w:sz w:val="24"/>
                <w:szCs w:val="24"/>
              </w:rPr>
              <w:t xml:space="preserve">Change from </w:t>
            </w:r>
            <w:r w:rsidRPr="008D70F0">
              <w:rPr>
                <w:rFonts w:asciiTheme="minorHAnsi" w:hAnsiTheme="minorHAnsi"/>
                <w:sz w:val="24"/>
                <w:szCs w:val="24"/>
              </w:rPr>
              <w:br/>
              <w:t>Jan</w:t>
            </w:r>
            <w:r w:rsidR="00B131EA">
              <w:rPr>
                <w:rFonts w:asciiTheme="minorHAnsi" w:hAnsiTheme="minorHAnsi"/>
                <w:sz w:val="24"/>
                <w:szCs w:val="24"/>
              </w:rPr>
              <w:t>uary</w:t>
            </w:r>
            <w:r w:rsidRPr="008D70F0">
              <w:rPr>
                <w:rFonts w:asciiTheme="minorHAnsi" w:hAnsiTheme="minorHAnsi"/>
                <w:sz w:val="24"/>
                <w:szCs w:val="24"/>
              </w:rPr>
              <w:t xml:space="preserve"> </w:t>
            </w:r>
          </w:p>
          <w:p w:rsidR="00481431" w:rsidRPr="008D70F0" w:rsidRDefault="00481431" w:rsidP="001A1A5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8D70F0">
              <w:rPr>
                <w:rFonts w:asciiTheme="minorHAnsi" w:hAnsiTheme="minorHAnsi"/>
                <w:sz w:val="24"/>
                <w:szCs w:val="24"/>
              </w:rPr>
              <w:t>2012</w:t>
            </w:r>
          </w:p>
        </w:tc>
      </w:tr>
      <w:tr w:rsidR="00481431" w:rsidRPr="00A16353" w:rsidTr="006B566D">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5778" w:type="dxa"/>
            <w:vAlign w:val="center"/>
          </w:tcPr>
          <w:p w:rsidR="00481431" w:rsidRPr="00481431" w:rsidRDefault="00481431" w:rsidP="008D70F0">
            <w:pPr>
              <w:jc w:val="center"/>
              <w:rPr>
                <w:rFonts w:asciiTheme="minorHAnsi" w:hAnsiTheme="minorHAnsi"/>
                <w:b w:val="0"/>
                <w:sz w:val="16"/>
                <w:szCs w:val="16"/>
              </w:rPr>
            </w:pPr>
            <w:r w:rsidRPr="00481431">
              <w:rPr>
                <w:rFonts w:asciiTheme="minorHAnsi" w:hAnsiTheme="minorHAnsi"/>
                <w:b w:val="0"/>
                <w:sz w:val="16"/>
                <w:szCs w:val="16"/>
              </w:rPr>
              <w:t xml:space="preserve">Business conditions in the U.S. are </w:t>
            </w:r>
            <w:r w:rsidRPr="00481431">
              <w:rPr>
                <w:rFonts w:asciiTheme="minorHAnsi" w:hAnsiTheme="minorHAnsi"/>
                <w:b w:val="0"/>
                <w:sz w:val="16"/>
                <w:szCs w:val="16"/>
                <w:u w:val="single"/>
              </w:rPr>
              <w:t>Good</w:t>
            </w:r>
            <w:r w:rsidRPr="00481431">
              <w:rPr>
                <w:rFonts w:asciiTheme="minorHAnsi" w:hAnsiTheme="minorHAnsi"/>
                <w:b w:val="0"/>
                <w:sz w:val="16"/>
                <w:szCs w:val="16"/>
              </w:rPr>
              <w:t>.</w:t>
            </w:r>
          </w:p>
        </w:tc>
        <w:tc>
          <w:tcPr>
            <w:tcW w:w="1440" w:type="dxa"/>
            <w:vAlign w:val="center"/>
          </w:tcPr>
          <w:p w:rsidR="00481431" w:rsidRPr="00481431" w:rsidRDefault="00481431" w:rsidP="008D70F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4"/>
                <w:szCs w:val="24"/>
              </w:rPr>
            </w:pPr>
            <w:r w:rsidRPr="00481431">
              <w:rPr>
                <w:rFonts w:asciiTheme="minorHAnsi" w:hAnsiTheme="minorHAnsi"/>
                <w:b/>
                <w:sz w:val="24"/>
                <w:szCs w:val="24"/>
              </w:rPr>
              <w:t>11</w:t>
            </w:r>
          </w:p>
        </w:tc>
        <w:tc>
          <w:tcPr>
            <w:tcW w:w="1638" w:type="dxa"/>
            <w:vAlign w:val="center"/>
          </w:tcPr>
          <w:p w:rsidR="00481431" w:rsidRPr="00481431" w:rsidRDefault="00481431" w:rsidP="008D70F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sz w:val="24"/>
                <w:szCs w:val="24"/>
              </w:rPr>
            </w:pPr>
            <w:r w:rsidRPr="00481431">
              <w:rPr>
                <w:rFonts w:asciiTheme="minorHAnsi" w:hAnsiTheme="minorHAnsi"/>
                <w:b/>
                <w:noProof/>
                <w:sz w:val="24"/>
                <w:szCs w:val="24"/>
              </w:rPr>
              <mc:AlternateContent>
                <mc:Choice Requires="wps">
                  <w:drawing>
                    <wp:anchor distT="0" distB="0" distL="114300" distR="114300" simplePos="0" relativeHeight="251722240" behindDoc="0" locked="0" layoutInCell="1" allowOverlap="1" wp14:anchorId="4E281C89" wp14:editId="73DB9C37">
                      <wp:simplePos x="0" y="0"/>
                      <wp:positionH relativeFrom="column">
                        <wp:posOffset>325120</wp:posOffset>
                      </wp:positionH>
                      <wp:positionV relativeFrom="paragraph">
                        <wp:posOffset>-32385</wp:posOffset>
                      </wp:positionV>
                      <wp:extent cx="178435" cy="281305"/>
                      <wp:effectExtent l="0" t="0" r="0" b="4445"/>
                      <wp:wrapNone/>
                      <wp:docPr id="1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281305"/>
                              </a:xfrm>
                              <a:prstGeom prst="upArrow">
                                <a:avLst>
                                  <a:gd name="adj1" fmla="val 50000"/>
                                  <a:gd name="adj2" fmla="val 39413"/>
                                </a:avLst>
                              </a:prstGeom>
                              <a:gradFill rotWithShape="0">
                                <a:gsLst>
                                  <a:gs pos="0">
                                    <a:srgbClr val="9BBB59"/>
                                  </a:gs>
                                  <a:gs pos="100000">
                                    <a:srgbClr val="74903B"/>
                                  </a:gs>
                                </a:gsLst>
                                <a:path path="rect">
                                  <a:fillToRect l="50000" t="50000" r="50000" b="50000"/>
                                </a:path>
                              </a:gra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95" o:spid="_x0000_s1026" type="#_x0000_t68" style="position:absolute;margin-left:25.6pt;margin-top:-2.55pt;width:14.05pt;height:22.1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IeFZQMAAEQHAAAOAAAAZHJzL2Uyb0RvYy54bWysVU1v4zYQvRfY/0DwrujTlmREWUSOXRTI&#10;totmi55piZLYSqRK0lHSov+9w5Hs2O0eit3VgeCI5PC9Nx+8ff8y9OSZayOULGh4E1DCZaVqIduC&#10;/vJp72WUGMtkzXoleUFfuaHv7959dzuNGx6pTvU11wScSLOZxoJ21o4b3zdVxwdmbtTIJSw2Sg/M&#10;gqlbv9ZsAu9D70dBsPYnpetRq4obA38f5kV6h/6bhlf2p6Yx3JK+oIDN4qhxPLjRv7tlm1azsRPV&#10;AoN9AYqBCQmXnl09MMvIUYv/uBpEpZVRjb2p1OCrphEVRw7AJgz+xeapYyNHLiCOGc8ymW/ntvrx&#10;+aMmoobYpZRINkCM7o9W4dUkXzmBptFsYN/T+FE7imZ8VNXvhki17Zhs+b3Wauo4qwFW6Pb7Vwec&#10;YeAoOUwfVA3uGbhHrV4aPTiHoAJ5wZC8nkPCXyyp4GeYZkm8oqSCpSgL4wAR+WxzOjxqY7/naiBu&#10;UtDjiHDQP3t+NBaDUi/MWP1bSEkz9BDjZ9aTVQDfkgMXe6LLPXGehDHSYpvFI1x/unaJeb0XfU+0&#10;sr8K26F2jgkumhMIQ0YFEs2/jW4P214TQFHQvCzLVb7c0Zr52Lw7dAg/cyRN8iAuL44ApvZ01chs&#10;R9xQUA0VgDgaAPhJ/QymK4WZuCuHZQYlscygLM6yOKLgBkKKmY0sHbpeulEqx9oF/PSHY8UBYSwr&#10;iOHC3UUTq+GvPIySoIxyb7/OUi/ZJysvT4PMC8K8zNdBkicP+78d4DDZdKKuuXwUkp8qM0z+X+Yv&#10;PWKuKaxNMp2VV704E7kKA0qN6QCEzOW2QVjoUr0YCprNAUGCLul3ssa5ZaKf5/41dpQHBHCKvelw&#10;v18FaRJnXpquYi+Jd4FXZvutd78N1+t0V27LXXitww61NV8vBQI5BcoZ6gjsnrp6IrVwNRRlcQ5t&#10;uxaQFHEWrIMcWgPrW2jwldX0s2l+JWSyW4dRtiTn2fssxNvFFzot3N6kggCcsge7iWsgcyM6qPoV&#10;mgmUmguoe3pg0in9JyUTtPGCmj+OTHNK+h8kVFseJonr+2gkqzQCQ1+uHC5XmKzAVUEt8MXp1oIF&#10;R46jFm0HN4VYTFK5HtkIl+eIb0a1GNCqkcnyrLi34NLGXW+P390/AAAA//8DAFBLAwQUAAYACAAA&#10;ACEA7X+2iN0AAAAHAQAADwAAAGRycy9kb3ducmV2LnhtbEyOwWrDMBBE74X+g9hCb4lsBzeJYzmU&#10;QCkESkmcD1CsjWVqrYwlxe7fVz21x2GGN6/cz6ZndxxdZ0lAukyAITVWddQKuNRviw0w5yUp2VtC&#10;Ad/oYF89PpSyUHaiE97PvmURQq6QArT3Q8G5azQa6ZZ2QIrdzY5G+hjHlqtRThFuep4lyQs3sqP4&#10;oOWAB43N1zkYAf54+qin5rgOm8OnTsI7ZnUehHh+ml93wDzO/m8Mv/pRHarodLWBlGO9gDzN4lLA&#10;Ik+BxX69XQG7ClhtM+BVyf/7Vz8AAAD//wMAUEsBAi0AFAAGAAgAAAAhALaDOJL+AAAA4QEAABMA&#10;AAAAAAAAAAAAAAAAAAAAAFtDb250ZW50X1R5cGVzXS54bWxQSwECLQAUAAYACAAAACEAOP0h/9YA&#10;AACUAQAACwAAAAAAAAAAAAAAAAAvAQAAX3JlbHMvLnJlbHNQSwECLQAUAAYACAAAACEAruiHhWUD&#10;AABEBwAADgAAAAAAAAAAAAAAAAAuAgAAZHJzL2Uyb0RvYy54bWxQSwECLQAUAAYACAAAACEA7X+2&#10;iN0AAAAHAQAADwAAAAAAAAAAAAAAAAC/BQAAZHJzL2Rvd25yZXYueG1sUEsFBgAAAAAEAAQA8wAA&#10;AMkGAAAAAA==&#10;" fillcolor="#9bbb59" stroked="f" strokeweight="0">
                      <v:fill color2="#74903b" focusposition=".5,.5" focussize="" focus="100%" type="gradientRadial">
                        <o:fill v:ext="view" type="gradientCenter"/>
                      </v:fill>
                      <v:shadow color="#4e6128" offset="1pt"/>
                    </v:shape>
                  </w:pict>
                </mc:Fallback>
              </mc:AlternateContent>
            </w:r>
            <w:r w:rsidRPr="00481431">
              <w:rPr>
                <w:rFonts w:asciiTheme="minorHAnsi" w:hAnsiTheme="minorHAnsi"/>
                <w:b/>
                <w:sz w:val="24"/>
                <w:szCs w:val="24"/>
              </w:rPr>
              <w:t xml:space="preserve">4% </w:t>
            </w:r>
          </w:p>
        </w:tc>
      </w:tr>
      <w:tr w:rsidR="00481431" w:rsidRPr="00A16353" w:rsidTr="006B566D">
        <w:trPr>
          <w:cnfStyle w:val="000000010000" w:firstRow="0" w:lastRow="0" w:firstColumn="0" w:lastColumn="0" w:oddVBand="0" w:evenVBand="0" w:oddHBand="0" w:evenHBand="1"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5778" w:type="dxa"/>
            <w:vAlign w:val="center"/>
          </w:tcPr>
          <w:p w:rsidR="00481431" w:rsidRPr="00481431" w:rsidRDefault="00481431" w:rsidP="008D70F0">
            <w:pPr>
              <w:jc w:val="center"/>
              <w:rPr>
                <w:rFonts w:asciiTheme="minorHAnsi" w:hAnsiTheme="minorHAnsi"/>
                <w:b w:val="0"/>
                <w:sz w:val="16"/>
                <w:szCs w:val="16"/>
              </w:rPr>
            </w:pPr>
            <w:r w:rsidRPr="00481431">
              <w:rPr>
                <w:rFonts w:asciiTheme="minorHAnsi" w:hAnsiTheme="minorHAnsi"/>
                <w:b w:val="0"/>
                <w:sz w:val="16"/>
                <w:szCs w:val="16"/>
              </w:rPr>
              <w:t xml:space="preserve">Six months from now, business conditions in the U.S. will be </w:t>
            </w:r>
            <w:r w:rsidRPr="00481431">
              <w:rPr>
                <w:rFonts w:asciiTheme="minorHAnsi" w:hAnsiTheme="minorHAnsi"/>
                <w:b w:val="0"/>
                <w:sz w:val="16"/>
                <w:szCs w:val="16"/>
                <w:u w:val="single"/>
              </w:rPr>
              <w:t>Better</w:t>
            </w:r>
            <w:r w:rsidRPr="00481431">
              <w:rPr>
                <w:rFonts w:asciiTheme="minorHAnsi" w:hAnsiTheme="minorHAnsi"/>
                <w:b w:val="0"/>
                <w:sz w:val="16"/>
                <w:szCs w:val="16"/>
              </w:rPr>
              <w:t>.</w:t>
            </w:r>
          </w:p>
        </w:tc>
        <w:tc>
          <w:tcPr>
            <w:tcW w:w="1440" w:type="dxa"/>
            <w:vAlign w:val="center"/>
          </w:tcPr>
          <w:p w:rsidR="00481431" w:rsidRPr="00481431" w:rsidRDefault="00481431" w:rsidP="008D70F0">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4"/>
                <w:szCs w:val="24"/>
              </w:rPr>
            </w:pPr>
            <w:r w:rsidRPr="00481431">
              <w:rPr>
                <w:rFonts w:asciiTheme="minorHAnsi" w:hAnsiTheme="minorHAnsi"/>
                <w:b/>
                <w:sz w:val="24"/>
                <w:szCs w:val="24"/>
              </w:rPr>
              <w:t>33</w:t>
            </w:r>
          </w:p>
        </w:tc>
        <w:tc>
          <w:tcPr>
            <w:tcW w:w="1638" w:type="dxa"/>
            <w:vAlign w:val="center"/>
          </w:tcPr>
          <w:p w:rsidR="00481431" w:rsidRPr="00481431" w:rsidRDefault="00481431" w:rsidP="008D70F0">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b/>
                <w:sz w:val="24"/>
                <w:szCs w:val="24"/>
              </w:rPr>
            </w:pPr>
            <w:r w:rsidRPr="00481431">
              <w:rPr>
                <w:rFonts w:asciiTheme="minorHAnsi" w:hAnsiTheme="minorHAnsi"/>
                <w:b/>
                <w:noProof/>
                <w:sz w:val="24"/>
                <w:szCs w:val="24"/>
              </w:rPr>
              <mc:AlternateContent>
                <mc:Choice Requires="wps">
                  <w:drawing>
                    <wp:anchor distT="0" distB="0" distL="114300" distR="114300" simplePos="0" relativeHeight="251723264" behindDoc="0" locked="0" layoutInCell="1" allowOverlap="1" wp14:anchorId="4B04F220" wp14:editId="17C9911D">
                      <wp:simplePos x="0" y="0"/>
                      <wp:positionH relativeFrom="column">
                        <wp:posOffset>332105</wp:posOffset>
                      </wp:positionH>
                      <wp:positionV relativeFrom="paragraph">
                        <wp:posOffset>-15875</wp:posOffset>
                      </wp:positionV>
                      <wp:extent cx="190500" cy="281305"/>
                      <wp:effectExtent l="0" t="0" r="0" b="4445"/>
                      <wp:wrapNone/>
                      <wp:docPr id="18"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81305"/>
                              </a:xfrm>
                              <a:prstGeom prst="downArrow">
                                <a:avLst>
                                  <a:gd name="adj1" fmla="val 50000"/>
                                  <a:gd name="adj2" fmla="val 36917"/>
                                </a:avLst>
                              </a:prstGeom>
                              <a:gradFill rotWithShape="0">
                                <a:gsLst>
                                  <a:gs pos="0">
                                    <a:srgbClr val="C00000"/>
                                  </a:gs>
                                  <a:gs pos="100000">
                                    <a:srgbClr val="C00000">
                                      <a:gamma/>
                                      <a:shade val="60000"/>
                                      <a:invGamma/>
                                    </a:srgbClr>
                                  </a:gs>
                                </a:gsLst>
                                <a:lin ang="0" scaled="1"/>
                              </a:gra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9" o:spid="_x0000_s1026" type="#_x0000_t67" style="position:absolute;margin-left:26.15pt;margin-top:-1.25pt;width:15pt;height:22.1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19bgMAAGoHAAAOAAAAZHJzL2Uyb0RvYy54bWysVdtu4zYQfS/QfyD4ruhi2ZaMKIvYsRcF&#10;0naBtOgzLVIWW4pUSdpKtui/dziSHXu7D0VbGJB5PTPnzIX3H147RU7COml0RdO7hBKha8OlPlT0&#10;5592UUGJ80xzpowWFX0Tjn54+Pab+6Fficy0RnFhCYBotxr6irbe96s4dnUrOubuTC80bDbGdszD&#10;1B5ibtkA6J2KsyRZxIOxvLemFs7B6tO4SR8Qv2lE7X9sGic8URUF3zx+LX734Rs/3LPVwbK+lfXk&#10;BvsXXnRMajB6gXpinpGjlX+D6mRtjTONv6tNF5umkbVADsAmTb5g89KyXiAXEMf1F5nc/wdb/3D6&#10;ZInkEDuIlGYdxOjx6A2aJmUZBBp6t4JzL/0nGyi6/tnUvzmizaZl+iAerTVDKxgHt9JwPr65ECYO&#10;rpL98L3hAM8AHrV6bWwXAEEF8oohebuERLx6UsNiWibzBAJXw1ZWpLNkjhbY6ny5t85/FKYjYVBR&#10;bgaNDqEFdnp2HsPCJ26M/5pS0nQKonxiigA4wI9ZcHUmuz4zW5TpcjI7IcZsdTY8RZ3vpFLEGv+L&#10;9C2qF7jgpjs74UhvQKRx2dnDfqMsAS8qugluoB+AfHDjtfF0Om6Fpa9dwaOs6xhycC3jYoRcnBHZ&#10;SurTx+kIwE8oEKfRFP5NLiqpCcQ0+EhczZQIiTFRhypBksGi0uGrTSAdIn5eEVhyAIbeQBAn3BBO&#10;LIc/yjTLk3VWRrtFsYzyXT6PymVSRElarstFkpf50+7PoFuar1rJudDPUotzaab5P0v9qUmMRYXF&#10;SYaKzgoQE2PijJIXMjey7rLwmyjfHOukh1alZFfRYowJkgyZv9Ucx55JNY7jW/9RIhAhqPauxeNu&#10;nizzWREtl/NZlM+2SbQudpvocZMuFsvterPeprdabFFf99/lQEfOwQoTcwR2Ly0fCJehkLJiVkJH&#10;4BKa5axIFkm5pISpA3T52lv61Uy/EXKRZXk2G8tQ9S0bs/JSb18k4sX8qNS7Z1dCTuTftQSMc4ph&#10;zwltZmxXe8PfoOVAOWIqwwMFg9bYz5QM0Owr6n4/MisoUd9pqMgyzfPwOuAkny8zmNjrnf31DtM1&#10;QFXUgyA43PjxRTn2Vh5asJQibW1CJ21kKAb0b/RqmkBDRybT4xNejOs5nnp/Ih/+AgAA//8DAFBL&#10;AwQUAAYACAAAACEABpZ9wtwAAAAHAQAADwAAAGRycy9kb3ducmV2LnhtbEyOwU7DMBBE70j8g7VI&#10;3FqngdIoZFOhSkjAjdJLb268TaLG68h2k5Svxz3R42hGb16xnkwnBnK+tYywmCcgiCurW64Rdj/v&#10;swyED4q16iwTwoU8rMv7u0Ll2o78TcM21CJC2OcKoQmhz6X0VUNG+bntiWN3tM6oEKOrpXZqjHDT&#10;yTRJXqRRLceHRvW0aag6bc8Gwa12H19HUub0OY6/l2G1T2mzR3x8mN5eQQSawv8YrvpRHcrodLBn&#10;1l50CMv0KS4RZukSROyzaz4gPC8ykGUhb/3LPwAAAP//AwBQSwECLQAUAAYACAAAACEAtoM4kv4A&#10;AADhAQAAEwAAAAAAAAAAAAAAAAAAAAAAW0NvbnRlbnRfVHlwZXNdLnhtbFBLAQItABQABgAIAAAA&#10;IQA4/SH/1gAAAJQBAAALAAAAAAAAAAAAAAAAAC8BAABfcmVscy8ucmVsc1BLAQItABQABgAIAAAA&#10;IQAYdU19bgMAAGoHAAAOAAAAAAAAAAAAAAAAAC4CAABkcnMvZTJvRG9jLnhtbFBLAQItABQABgAI&#10;AAAAIQAGln3C3AAAAAcBAAAPAAAAAAAAAAAAAAAAAMgFAABkcnMvZG93bnJldi54bWxQSwUGAAAA&#10;AAQABADzAAAA0QYAAAAA&#10;" fillcolor="#c00000" stroked="f" strokecolor="#f2f2f2" strokeweight="3pt">
                      <v:fill color2="#730000" angle="90" focus="100%" type="gradient"/>
                      <v:shadow color="#622423" opacity=".5" offset="1pt"/>
                    </v:shape>
                  </w:pict>
                </mc:Fallback>
              </mc:AlternateContent>
            </w:r>
            <w:r w:rsidRPr="00481431">
              <w:rPr>
                <w:rFonts w:asciiTheme="minorHAnsi" w:hAnsiTheme="minorHAnsi"/>
                <w:b/>
                <w:sz w:val="24"/>
                <w:szCs w:val="24"/>
              </w:rPr>
              <w:t>3%</w:t>
            </w:r>
          </w:p>
        </w:tc>
      </w:tr>
      <w:tr w:rsidR="00481431" w:rsidRPr="00A16353" w:rsidTr="006B566D">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5778" w:type="dxa"/>
            <w:vAlign w:val="center"/>
          </w:tcPr>
          <w:p w:rsidR="00481431" w:rsidRPr="00481431" w:rsidRDefault="00481431" w:rsidP="008D70F0">
            <w:pPr>
              <w:jc w:val="center"/>
              <w:rPr>
                <w:rFonts w:asciiTheme="minorHAnsi" w:hAnsiTheme="minorHAnsi"/>
                <w:b w:val="0"/>
                <w:sz w:val="16"/>
                <w:szCs w:val="16"/>
              </w:rPr>
            </w:pPr>
            <w:r w:rsidRPr="00481431">
              <w:rPr>
                <w:rFonts w:asciiTheme="minorHAnsi" w:hAnsiTheme="minorHAnsi"/>
                <w:b w:val="0"/>
                <w:sz w:val="16"/>
                <w:szCs w:val="16"/>
              </w:rPr>
              <w:t xml:space="preserve">Business conditions in Middle Tennessee are </w:t>
            </w:r>
            <w:r w:rsidRPr="00481431">
              <w:rPr>
                <w:rFonts w:asciiTheme="minorHAnsi" w:hAnsiTheme="minorHAnsi"/>
                <w:b w:val="0"/>
                <w:sz w:val="16"/>
                <w:szCs w:val="16"/>
                <w:u w:val="single"/>
              </w:rPr>
              <w:t>Good</w:t>
            </w:r>
            <w:r w:rsidRPr="00481431">
              <w:rPr>
                <w:rFonts w:asciiTheme="minorHAnsi" w:hAnsiTheme="minorHAnsi"/>
                <w:b w:val="0"/>
                <w:sz w:val="16"/>
                <w:szCs w:val="16"/>
              </w:rPr>
              <w:t>.</w:t>
            </w:r>
          </w:p>
        </w:tc>
        <w:tc>
          <w:tcPr>
            <w:tcW w:w="1440" w:type="dxa"/>
            <w:vAlign w:val="center"/>
          </w:tcPr>
          <w:p w:rsidR="00481431" w:rsidRPr="00481431" w:rsidRDefault="00481431" w:rsidP="008D70F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4"/>
                <w:szCs w:val="24"/>
              </w:rPr>
            </w:pPr>
            <w:r w:rsidRPr="00481431">
              <w:rPr>
                <w:rFonts w:asciiTheme="minorHAnsi" w:hAnsiTheme="minorHAnsi"/>
                <w:b/>
                <w:sz w:val="24"/>
                <w:szCs w:val="24"/>
              </w:rPr>
              <w:t>32</w:t>
            </w:r>
          </w:p>
        </w:tc>
        <w:tc>
          <w:tcPr>
            <w:tcW w:w="1638" w:type="dxa"/>
            <w:vAlign w:val="center"/>
          </w:tcPr>
          <w:p w:rsidR="00481431" w:rsidRPr="00481431" w:rsidRDefault="00481431" w:rsidP="008D70F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sz w:val="24"/>
                <w:szCs w:val="24"/>
              </w:rPr>
            </w:pPr>
            <w:r w:rsidRPr="00481431">
              <w:rPr>
                <w:rFonts w:asciiTheme="minorHAnsi" w:hAnsiTheme="minorHAnsi"/>
                <w:b/>
                <w:noProof/>
                <w:sz w:val="24"/>
                <w:szCs w:val="24"/>
              </w:rPr>
              <mc:AlternateContent>
                <mc:Choice Requires="wps">
                  <w:drawing>
                    <wp:anchor distT="0" distB="0" distL="114300" distR="114300" simplePos="0" relativeHeight="251718144" behindDoc="0" locked="0" layoutInCell="1" allowOverlap="1" wp14:anchorId="2AD0D70F" wp14:editId="28D725E7">
                      <wp:simplePos x="0" y="0"/>
                      <wp:positionH relativeFrom="column">
                        <wp:posOffset>327660</wp:posOffset>
                      </wp:positionH>
                      <wp:positionV relativeFrom="paragraph">
                        <wp:posOffset>-40640</wp:posOffset>
                      </wp:positionV>
                      <wp:extent cx="178435" cy="281305"/>
                      <wp:effectExtent l="0" t="0" r="0" b="4445"/>
                      <wp:wrapNone/>
                      <wp:docPr id="1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281305"/>
                              </a:xfrm>
                              <a:prstGeom prst="upArrow">
                                <a:avLst>
                                  <a:gd name="adj1" fmla="val 50000"/>
                                  <a:gd name="adj2" fmla="val 39413"/>
                                </a:avLst>
                              </a:prstGeom>
                              <a:gradFill rotWithShape="0">
                                <a:gsLst>
                                  <a:gs pos="0">
                                    <a:srgbClr val="9BBB59"/>
                                  </a:gs>
                                  <a:gs pos="100000">
                                    <a:srgbClr val="74903B"/>
                                  </a:gs>
                                </a:gsLst>
                                <a:path path="rect">
                                  <a:fillToRect l="50000" t="50000" r="50000" b="50000"/>
                                </a:path>
                              </a:gra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5" o:spid="_x0000_s1026" type="#_x0000_t68" style="position:absolute;margin-left:25.8pt;margin-top:-3.2pt;width:14.05pt;height:22.1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ktZQMAAEQHAAAOAAAAZHJzL2Uyb0RvYy54bWysVU1v4zYQvRfY/0DwrujTlmREWUSOXRTI&#10;totmi55piZLYSqRK0lHSov+9w5Hs2O0eit3VgeCI5PC9Nx+8ff8y9OSZayOULGh4E1DCZaVqIduC&#10;/vJp72WUGMtkzXoleUFfuaHv7959dzuNGx6pTvU11wScSLOZxoJ21o4b3zdVxwdmbtTIJSw2Sg/M&#10;gqlbv9ZsAu9D70dBsPYnpetRq4obA38f5kV6h/6bhlf2p6Yx3JK+oIDN4qhxPLjRv7tlm1azsRPV&#10;AoN9AYqBCQmXnl09MMvIUYv/uBpEpZVRjb2p1OCrphEVRw7AJgz+xeapYyNHLiCOGc8ymW/ntvrx&#10;+aMmoobY5ZRINkCM7o9W4dUkXzmBptFsYN/T+FE7imZ8VNXvhki17Zhs+b3Wauo4qwFW6Pb7Vwec&#10;YeAoOUwfVA3uGbhHrV4aPTiHoAJ5wZC8nkPCXyyp4GeYZkm8oqSCpSgL4wAR+WxzOjxqY7/naiBu&#10;UtDjiHDQP3t+NBaDUi/MWP1bSEkz9BDjZ9aTVQDfkgMXe6LLPXGehDHSYpvFI1x/unaJeb0XfU+0&#10;sr8K26F2jgkumhMIQ0YFEs2/jW4P214TQFHQvCzLVb7c0Zr52Lw7dAg/cyRN8iAuL44ApvZ01chs&#10;R9xQUA0VgDgaAPhJ/QymK4WZuCuHZQYlscygLM6yOKLgBkKKmY0sHbpeulEqx9oF/PSHY8UBYSwr&#10;iOHC3UUTq+GvPIySoIxyb7/OUi/ZJysvT4PMC8K8zNdBkicP+78d4DDZdKKuuXwUkp8qM0z+X+Yv&#10;PWKuKaxNMp2VV704E7kKA0qN6QCEzOW2QVjoUr0YCprNAUGCLul3ssa5ZaKf5/41dpQHBHCKvelw&#10;v18FaRJnXpquYi+Jd4FXZvutd78N1+t0V27LXXitww61NV8vBQI5BcoZ6gjsnrp6IrVwNRRlcQ5t&#10;uxaQFHEWrIM8pYT1LTT4ymr62TS/EjLZrcMoW5Lz7H0W4u3iC50Wbm9SQQBO2YPdxDWQuREdVP0K&#10;zQRKzQXUPT0w6ZT+k5IJ2nhBzR9Hpjkl/Q8Sqi0Pk8T1fTSSVRqBoS9XDpcrTFbgqqAW+OJ0a8GC&#10;I8dRi7aDm0IsJqlcj2yEy3PEN6NaDGjVyGR5VtxbcGnjrrfH7+4fAAAA//8DAFBLAwQUAAYACAAA&#10;ACEA2iYivt0AAAAHAQAADwAAAGRycy9kb3ducmV2LnhtbEyOUUvDMBSF3wX/Q7iCb1u66dqt9nbI&#10;QISByFZ/QNZcm2JzU5p0rf/e+KSPh3P4zlfsZ9uJKw2+dYywWiYgiGunW24QPqqXxRaED4q16hwT&#10;wjd52Je3N4XKtZv4RNdzaESEsM8Vggmhz6X0tSGr/NL1xLH7dINVIcahkXpQU4TbTq6TJJVWtRwf&#10;jOrpYKj+Oo8WIRxPb9VUH7Nxe3g3yfhK62ozIt7fzc9PIALN4W8Mv/pRHcrodHEjay86hM0qjUuE&#10;RfoIIvbZLgNxQXjIdiDLQv73L38AAAD//wMAUEsBAi0AFAAGAAgAAAAhALaDOJL+AAAA4QEAABMA&#10;AAAAAAAAAAAAAAAAAAAAAFtDb250ZW50X1R5cGVzXS54bWxQSwECLQAUAAYACAAAACEAOP0h/9YA&#10;AACUAQAACwAAAAAAAAAAAAAAAAAvAQAAX3JlbHMvLnJlbHNQSwECLQAUAAYACAAAACEAKXh5LWUD&#10;AABEBwAADgAAAAAAAAAAAAAAAAAuAgAAZHJzL2Uyb0RvYy54bWxQSwECLQAUAAYACAAAACEA2iYi&#10;vt0AAAAHAQAADwAAAAAAAAAAAAAAAAC/BQAAZHJzL2Rvd25yZXYueG1sUEsFBgAAAAAEAAQA8wAA&#10;AMkGAAAAAA==&#10;" fillcolor="#9bbb59" stroked="f" strokeweight="0">
                      <v:fill color2="#74903b" focusposition=".5,.5" focussize="" focus="100%" type="gradientRadial">
                        <o:fill v:ext="view" type="gradientCenter"/>
                      </v:fill>
                      <v:shadow color="#4e6128" offset="1pt"/>
                    </v:shape>
                  </w:pict>
                </mc:Fallback>
              </mc:AlternateContent>
            </w:r>
            <w:r w:rsidRPr="00481431">
              <w:rPr>
                <w:rFonts w:asciiTheme="minorHAnsi" w:hAnsiTheme="minorHAnsi"/>
                <w:b/>
                <w:sz w:val="24"/>
                <w:szCs w:val="24"/>
              </w:rPr>
              <w:t>5%</w:t>
            </w:r>
          </w:p>
        </w:tc>
      </w:tr>
      <w:tr w:rsidR="00481431" w:rsidRPr="00A16353" w:rsidTr="006B566D">
        <w:trPr>
          <w:cnfStyle w:val="000000010000" w:firstRow="0" w:lastRow="0" w:firstColumn="0" w:lastColumn="0" w:oddVBand="0" w:evenVBand="0" w:oddHBand="0" w:evenHBand="1"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5778" w:type="dxa"/>
            <w:vAlign w:val="center"/>
          </w:tcPr>
          <w:p w:rsidR="00481431" w:rsidRPr="00481431" w:rsidRDefault="00481431" w:rsidP="008D70F0">
            <w:pPr>
              <w:jc w:val="center"/>
              <w:rPr>
                <w:rFonts w:asciiTheme="minorHAnsi" w:hAnsiTheme="minorHAnsi"/>
                <w:b w:val="0"/>
                <w:sz w:val="16"/>
                <w:szCs w:val="16"/>
              </w:rPr>
            </w:pPr>
            <w:r w:rsidRPr="00481431">
              <w:rPr>
                <w:rFonts w:asciiTheme="minorHAnsi" w:hAnsiTheme="minorHAnsi"/>
                <w:b w:val="0"/>
                <w:sz w:val="16"/>
                <w:szCs w:val="16"/>
              </w:rPr>
              <w:t xml:space="preserve">Six months from now, business conditions in Middle Tennessee will be </w:t>
            </w:r>
            <w:r w:rsidRPr="00481431">
              <w:rPr>
                <w:rFonts w:asciiTheme="minorHAnsi" w:hAnsiTheme="minorHAnsi"/>
                <w:b w:val="0"/>
                <w:sz w:val="16"/>
                <w:szCs w:val="16"/>
                <w:u w:val="single"/>
              </w:rPr>
              <w:t>Better</w:t>
            </w:r>
            <w:r w:rsidRPr="00481431">
              <w:rPr>
                <w:rFonts w:asciiTheme="minorHAnsi" w:hAnsiTheme="minorHAnsi"/>
                <w:b w:val="0"/>
                <w:sz w:val="16"/>
                <w:szCs w:val="16"/>
              </w:rPr>
              <w:t>.</w:t>
            </w:r>
          </w:p>
        </w:tc>
        <w:tc>
          <w:tcPr>
            <w:tcW w:w="1440" w:type="dxa"/>
            <w:vAlign w:val="center"/>
          </w:tcPr>
          <w:p w:rsidR="00481431" w:rsidRPr="00481431" w:rsidRDefault="00481431" w:rsidP="008D70F0">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4"/>
                <w:szCs w:val="24"/>
              </w:rPr>
            </w:pPr>
            <w:r w:rsidRPr="00481431">
              <w:rPr>
                <w:rFonts w:asciiTheme="minorHAnsi" w:hAnsiTheme="minorHAnsi"/>
                <w:b/>
                <w:sz w:val="24"/>
                <w:szCs w:val="24"/>
              </w:rPr>
              <w:t>37</w:t>
            </w:r>
          </w:p>
        </w:tc>
        <w:tc>
          <w:tcPr>
            <w:tcW w:w="1638" w:type="dxa"/>
            <w:vAlign w:val="center"/>
          </w:tcPr>
          <w:p w:rsidR="00481431" w:rsidRPr="00481431" w:rsidRDefault="00481431" w:rsidP="008D70F0">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b/>
                <w:sz w:val="24"/>
                <w:szCs w:val="24"/>
              </w:rPr>
            </w:pPr>
            <w:r w:rsidRPr="00481431">
              <w:rPr>
                <w:rFonts w:asciiTheme="minorHAnsi" w:hAnsiTheme="minorHAnsi"/>
                <w:b/>
                <w:noProof/>
                <w:sz w:val="24"/>
                <w:szCs w:val="24"/>
              </w:rPr>
              <mc:AlternateContent>
                <mc:Choice Requires="wps">
                  <w:drawing>
                    <wp:anchor distT="0" distB="0" distL="114300" distR="114300" simplePos="0" relativeHeight="251721216" behindDoc="0" locked="0" layoutInCell="1" allowOverlap="1" wp14:anchorId="60D5E562" wp14:editId="08CDD1F9">
                      <wp:simplePos x="0" y="0"/>
                      <wp:positionH relativeFrom="column">
                        <wp:posOffset>334645</wp:posOffset>
                      </wp:positionH>
                      <wp:positionV relativeFrom="paragraph">
                        <wp:posOffset>-22225</wp:posOffset>
                      </wp:positionV>
                      <wp:extent cx="190500" cy="281305"/>
                      <wp:effectExtent l="0" t="0" r="0" b="4445"/>
                      <wp:wrapNone/>
                      <wp:docPr id="20"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81305"/>
                              </a:xfrm>
                              <a:prstGeom prst="downArrow">
                                <a:avLst>
                                  <a:gd name="adj1" fmla="val 50000"/>
                                  <a:gd name="adj2" fmla="val 36917"/>
                                </a:avLst>
                              </a:prstGeom>
                              <a:gradFill rotWithShape="0">
                                <a:gsLst>
                                  <a:gs pos="0">
                                    <a:srgbClr val="C00000"/>
                                  </a:gs>
                                  <a:gs pos="100000">
                                    <a:srgbClr val="C00000">
                                      <a:gamma/>
                                      <a:shade val="60000"/>
                                      <a:invGamma/>
                                    </a:srgbClr>
                                  </a:gs>
                                </a:gsLst>
                                <a:lin ang="0" scaled="1"/>
                              </a:gra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9" o:spid="_x0000_s1026" type="#_x0000_t67" style="position:absolute;margin-left:26.35pt;margin-top:-1.75pt;width:15pt;height:22.1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bbgMAAGoHAAAOAAAAZHJzL2Uyb0RvYy54bWysVdtu4zYQfS/QfyD4ruhi2ZaMKIvYsRcF&#10;0naBtOgzLVIWW4pUSdpKtui/dziSHXu7D0VbGJB5PXPmzIX3H147RU7COml0RdO7hBKha8OlPlT0&#10;5592UUGJ80xzpowWFX0Tjn54+Pab+6Fficy0RnFhCYBotxr6irbe96s4dnUrOubuTC80bDbGdszD&#10;1B5ibtkA6J2KsyRZxIOxvLemFs7B6tO4SR8Qv2lE7X9sGic8URUFbh6/Fr/78I0f7tnqYFnfynqi&#10;wf4Fi45JDUYvUE/MM3K08m9Qnaytcabxd7XpYtM0shboA3iTJl9489KyXqAvII7rLzK5/w+2/uH0&#10;yRLJK5qBPJp1EKPHozdompRlEGjo3QrOvfSfbHDR9c+m/s0RbTYt0wfxaK0ZWsE40ErD+fjmQpg4&#10;uEr2w/eGAzwDeNTqtbFdAAQVyCuG5O0SEvHqSQ2LaZnME2BWw1ZWpLNkjhbY6ny5t85/FKYjYVBR&#10;bgaNhNACOz07j2Hhk2+M/5pS0nQKonxiigA4wI9ZcHUmuz4zW5TpcjI7IcZsdTY8RZ3vpFLEGv+L&#10;9C2qF3zBTXcm4UhvQKRx2dnDfqMsARYV3QQayAOQD268Np5Ox62w9LUreJR1HUMfXMu4GCEXZ0S2&#10;kvr0cToC8BMKxGk0hX8TRSU1gZgGjsTVTAlIjDGmmNroZLCodPhqE5wOET+vCCw5AEM2EMQJN4QT&#10;y+GPMs3yZJ2V0W5RLKN8l8+jcpkUUZKW63KR5GX+tPsz6Jbmq1ZyLvSz1OJcmmn+z1J/ahJjUWFx&#10;kqGiswLExJg4o+TFmRtZd1n4TdG+OdZJD61Kya6ixRgTdDJk/lZzHHsm1TiOb/mjRCBCUO1di8fd&#10;PFnmsyJaLuezKJ9tk2hd7DbR4yZdLJbb9Wa9TW+12KK+7r/LgUTOwQoTcwTvXlo+EC5DIWXFrITe&#10;zSU0y1mRLJJySQlTB+jytbf0q5l+I+Qiy/JsNpah6ls2ZuWl3r5IxIv5Ual3ZldCTs6/awkY5xTD&#10;nhPazNiu9oa/QcuBcsRUhgcKBq2xnykZoNlX1P1+ZFZQor7TUJFlmufhdcBJPl+GXmivd/bXO0zX&#10;AFVRD4LgcOPHF+XYW3lowVKKbmsTOmkjQzEgv5HVNIGGjp5Mj094Ma7neOr9iXz4CwAA//8DAFBL&#10;AwQUAAYACAAAACEAPc8VlNsAAAAHAQAADwAAAGRycy9kb3ducmV2LnhtbEyOwU7DMBBE70j8g7VI&#10;3FqHQEkU4lSoEhJwo/TS2zbeJlHjdWS7ScrX457gOJrRm1euZ9OLkZzvLCt4WCYgiGurO24U7L7f&#10;FjkIH5A19pZJwYU8rKvbmxILbSf+onEbGhEh7AtU0IYwFFL6uiWDfmkH4tgdrTMYYnSN1A6nCDe9&#10;TJPkWRrsOD60ONCmpfq0PRsFLtu9fx4Jzeljmn4uY7ZPabNX6v5ufn0BEWgOf2O46kd1qKLTwZ5Z&#10;e9ErWKVZXCpYPK5AxD6/5oOCpyQHWZXyv3/1CwAA//8DAFBLAQItABQABgAIAAAAIQC2gziS/gAA&#10;AOEBAAATAAAAAAAAAAAAAAAAAAAAAABbQ29udGVudF9UeXBlc10ueG1sUEsBAi0AFAAGAAgAAAAh&#10;ADj9If/WAAAAlAEAAAsAAAAAAAAAAAAAAAAALwEAAF9yZWxzLy5yZWxzUEsBAi0AFAAGAAgAAAAh&#10;AJ59n9tuAwAAagcAAA4AAAAAAAAAAAAAAAAALgIAAGRycy9lMm9Eb2MueG1sUEsBAi0AFAAGAAgA&#10;AAAhAD3PFZTbAAAABwEAAA8AAAAAAAAAAAAAAAAAyAUAAGRycy9kb3ducmV2LnhtbFBLBQYAAAAA&#10;BAAEAPMAAADQBgAAAAA=&#10;" fillcolor="#c00000" stroked="f" strokecolor="#f2f2f2" strokeweight="3pt">
                      <v:fill color2="#730000" angle="90" focus="100%" type="gradient"/>
                      <v:shadow color="#622423" opacity=".5" offset="1pt"/>
                    </v:shape>
                  </w:pict>
                </mc:Fallback>
              </mc:AlternateContent>
            </w:r>
            <w:r w:rsidRPr="00481431">
              <w:rPr>
                <w:rFonts w:asciiTheme="minorHAnsi" w:hAnsiTheme="minorHAnsi"/>
                <w:b/>
                <w:sz w:val="24"/>
                <w:szCs w:val="24"/>
              </w:rPr>
              <w:t>1%</w:t>
            </w:r>
          </w:p>
        </w:tc>
      </w:tr>
      <w:tr w:rsidR="00481431" w:rsidRPr="00A16353" w:rsidTr="006B566D">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5778" w:type="dxa"/>
            <w:vAlign w:val="center"/>
          </w:tcPr>
          <w:p w:rsidR="00481431" w:rsidRPr="00481431" w:rsidRDefault="00481431" w:rsidP="008D70F0">
            <w:pPr>
              <w:jc w:val="center"/>
              <w:rPr>
                <w:rFonts w:asciiTheme="minorHAnsi" w:hAnsiTheme="minorHAnsi"/>
                <w:b w:val="0"/>
                <w:sz w:val="16"/>
                <w:szCs w:val="16"/>
              </w:rPr>
            </w:pPr>
            <w:r w:rsidRPr="00481431">
              <w:rPr>
                <w:rFonts w:asciiTheme="minorHAnsi" w:hAnsiTheme="minorHAnsi"/>
                <w:b w:val="0"/>
                <w:sz w:val="16"/>
                <w:szCs w:val="16"/>
              </w:rPr>
              <w:t xml:space="preserve">Jobs in Middle Tennessee are </w:t>
            </w:r>
            <w:r w:rsidRPr="00481431">
              <w:rPr>
                <w:rFonts w:asciiTheme="minorHAnsi" w:hAnsiTheme="minorHAnsi"/>
                <w:b w:val="0"/>
                <w:sz w:val="16"/>
                <w:szCs w:val="16"/>
                <w:u w:val="single"/>
              </w:rPr>
              <w:t>Easy To Find</w:t>
            </w:r>
            <w:r w:rsidRPr="00481431">
              <w:rPr>
                <w:rFonts w:asciiTheme="minorHAnsi" w:hAnsiTheme="minorHAnsi"/>
                <w:b w:val="0"/>
                <w:sz w:val="16"/>
                <w:szCs w:val="16"/>
              </w:rPr>
              <w:t>.</w:t>
            </w:r>
          </w:p>
        </w:tc>
        <w:tc>
          <w:tcPr>
            <w:tcW w:w="1440" w:type="dxa"/>
            <w:vAlign w:val="center"/>
          </w:tcPr>
          <w:p w:rsidR="00481431" w:rsidRPr="00481431" w:rsidRDefault="00481431" w:rsidP="008D70F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4"/>
                <w:szCs w:val="24"/>
              </w:rPr>
            </w:pPr>
            <w:r w:rsidRPr="00481431">
              <w:rPr>
                <w:rFonts w:asciiTheme="minorHAnsi" w:hAnsiTheme="minorHAnsi"/>
                <w:b/>
                <w:sz w:val="24"/>
                <w:szCs w:val="24"/>
              </w:rPr>
              <w:t>5</w:t>
            </w:r>
          </w:p>
        </w:tc>
        <w:tc>
          <w:tcPr>
            <w:tcW w:w="1638" w:type="dxa"/>
            <w:vAlign w:val="center"/>
          </w:tcPr>
          <w:p w:rsidR="00481431" w:rsidRPr="00481431" w:rsidRDefault="00481431" w:rsidP="00C1123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4"/>
                <w:szCs w:val="24"/>
              </w:rPr>
            </w:pPr>
            <w:r w:rsidRPr="00481431">
              <w:rPr>
                <w:rFonts w:asciiTheme="minorHAnsi" w:hAnsiTheme="minorHAnsi"/>
                <w:b/>
                <w:sz w:val="24"/>
                <w:szCs w:val="24"/>
              </w:rPr>
              <w:t>No Change</w:t>
            </w:r>
          </w:p>
        </w:tc>
      </w:tr>
      <w:tr w:rsidR="00481431" w:rsidRPr="00A16353" w:rsidTr="006B566D">
        <w:trPr>
          <w:cnfStyle w:val="000000010000" w:firstRow="0" w:lastRow="0" w:firstColumn="0" w:lastColumn="0" w:oddVBand="0" w:evenVBand="0" w:oddHBand="0" w:evenHBand="1"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5778" w:type="dxa"/>
            <w:vAlign w:val="center"/>
          </w:tcPr>
          <w:p w:rsidR="00481431" w:rsidRPr="00481431" w:rsidRDefault="00481431" w:rsidP="008D70F0">
            <w:pPr>
              <w:jc w:val="center"/>
              <w:rPr>
                <w:rFonts w:asciiTheme="minorHAnsi" w:hAnsiTheme="minorHAnsi"/>
                <w:b w:val="0"/>
                <w:sz w:val="16"/>
                <w:szCs w:val="16"/>
              </w:rPr>
            </w:pPr>
            <w:r w:rsidRPr="00481431">
              <w:rPr>
                <w:rFonts w:asciiTheme="minorHAnsi" w:hAnsiTheme="minorHAnsi"/>
                <w:b w:val="0"/>
                <w:sz w:val="16"/>
                <w:szCs w:val="16"/>
              </w:rPr>
              <w:t xml:space="preserve">Six months from now there will be </w:t>
            </w:r>
            <w:r w:rsidRPr="00481431">
              <w:rPr>
                <w:rFonts w:asciiTheme="minorHAnsi" w:hAnsiTheme="minorHAnsi"/>
                <w:b w:val="0"/>
                <w:sz w:val="16"/>
                <w:szCs w:val="16"/>
                <w:u w:val="single"/>
              </w:rPr>
              <w:t>More Job Openings</w:t>
            </w:r>
            <w:r w:rsidRPr="00481431">
              <w:rPr>
                <w:rFonts w:asciiTheme="minorHAnsi" w:hAnsiTheme="minorHAnsi"/>
                <w:b w:val="0"/>
                <w:sz w:val="16"/>
                <w:szCs w:val="16"/>
              </w:rPr>
              <w:t xml:space="preserve"> in Middle Tennessee</w:t>
            </w:r>
          </w:p>
        </w:tc>
        <w:tc>
          <w:tcPr>
            <w:tcW w:w="1440" w:type="dxa"/>
            <w:vAlign w:val="center"/>
          </w:tcPr>
          <w:p w:rsidR="00481431" w:rsidRPr="00481431" w:rsidRDefault="00481431" w:rsidP="008D70F0">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4"/>
                <w:szCs w:val="24"/>
              </w:rPr>
            </w:pPr>
            <w:r w:rsidRPr="00481431">
              <w:rPr>
                <w:rFonts w:asciiTheme="minorHAnsi" w:hAnsiTheme="minorHAnsi"/>
                <w:b/>
                <w:sz w:val="24"/>
                <w:szCs w:val="24"/>
              </w:rPr>
              <w:t>40</w:t>
            </w:r>
          </w:p>
        </w:tc>
        <w:tc>
          <w:tcPr>
            <w:tcW w:w="1638" w:type="dxa"/>
            <w:vAlign w:val="center"/>
          </w:tcPr>
          <w:p w:rsidR="00481431" w:rsidRPr="00481431" w:rsidRDefault="00481431" w:rsidP="008D70F0">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b/>
                <w:sz w:val="24"/>
                <w:szCs w:val="24"/>
              </w:rPr>
            </w:pPr>
            <w:r w:rsidRPr="00481431">
              <w:rPr>
                <w:rFonts w:asciiTheme="minorHAnsi" w:hAnsiTheme="minorHAnsi"/>
                <w:b/>
                <w:noProof/>
                <w:sz w:val="24"/>
                <w:szCs w:val="24"/>
              </w:rPr>
              <mc:AlternateContent>
                <mc:Choice Requires="wps">
                  <w:drawing>
                    <wp:anchor distT="0" distB="0" distL="114300" distR="114300" simplePos="0" relativeHeight="251719168" behindDoc="0" locked="0" layoutInCell="1" allowOverlap="1" wp14:anchorId="5AFCEA1D" wp14:editId="33AE3E44">
                      <wp:simplePos x="0" y="0"/>
                      <wp:positionH relativeFrom="column">
                        <wp:posOffset>339725</wp:posOffset>
                      </wp:positionH>
                      <wp:positionV relativeFrom="paragraph">
                        <wp:posOffset>161290</wp:posOffset>
                      </wp:positionV>
                      <wp:extent cx="178435" cy="281305"/>
                      <wp:effectExtent l="0" t="0" r="0" b="4445"/>
                      <wp:wrapNone/>
                      <wp:docPr id="21"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281305"/>
                              </a:xfrm>
                              <a:prstGeom prst="upArrow">
                                <a:avLst>
                                  <a:gd name="adj1" fmla="val 50000"/>
                                  <a:gd name="adj2" fmla="val 39413"/>
                                </a:avLst>
                              </a:prstGeom>
                              <a:gradFill rotWithShape="0">
                                <a:gsLst>
                                  <a:gs pos="0">
                                    <a:srgbClr val="9BBB59"/>
                                  </a:gs>
                                  <a:gs pos="100000">
                                    <a:srgbClr val="74903B"/>
                                  </a:gs>
                                </a:gsLst>
                                <a:path path="rect">
                                  <a:fillToRect l="50000" t="50000" r="50000" b="50000"/>
                                </a:path>
                              </a:gra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5" o:spid="_x0000_s1026" type="#_x0000_t68" style="position:absolute;margin-left:26.75pt;margin-top:12.7pt;width:14.05pt;height:22.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b3ZQMAAEQHAAAOAAAAZHJzL2Uyb0RvYy54bWysVU1v4zYQvRfY/0DwrujTlmREWUSOXRTI&#10;totmi55piZLYSqRK0lHSov+9w5Hs2O0eit3VgeCI5PC9Nx+8ff8y9OSZayOULGh4E1DCZaVqIduC&#10;/vJp72WUGMtkzXoleUFfuaHv7959dzuNGx6pTvU11wScSLOZxoJ21o4b3zdVxwdmbtTIJSw2Sg/M&#10;gqlbv9ZsAu9D70dBsPYnpetRq4obA38f5kV6h/6bhlf2p6Yx3JK+oIDN4qhxPLjRv7tlm1azsRPV&#10;AoN9AYqBCQmXnl09MMvIUYv/uBpEpZVRjb2p1OCrphEVRw7AJgz+xeapYyNHLiCOGc8ymW/ntvrx&#10;+aMmoi5oFFIi2QAxuj9ahVeTfOUEmkazgX1P40ftKJrxUVW/GyLVtmOy5fdaq6njrAZYodvvXx1w&#10;hoGj5DB9UDW4Z+AetXpp9OAcggrkBUPyeg4Jf7Gkgp9hmiXxipIKlqIsjANE5LPN6fCojf2eq4G4&#10;SUGPI8JB/+z50VgMSr0wY/VvwLIZeojxM+vJKoBvyYGLPdHlnjhPwhhpsc3iEa4/XbvEvN6Lvida&#10;2V+F7VA7xwQXzQmEIaMCiebfRreHba8JoChoXpblKl/uaM18bN4dOoSfOZImeRCXF0cAU3u6amS2&#10;I24oqIYKQBwNAPykfgbTlcJM3JXDMoOSWGZQFmdZHFFwAyHFzEaWDl0v3SiVY+0CfvrDseKAMJYV&#10;xHDh7qKJ1fBXHkZJUEa5t19nqZfsk5WXp0HmBWFe5usgyZOH/d8OcJhsOlHXXD4KyU+VGSb/L/OX&#10;HjHXFNYmmc7Kq16ciVyFAaXGdABC5nLbICx0qV4MBc3mgCBBl/Q7WePcMtHPc/8aO8oDAjjF3nS4&#10;36+CNIkzL01XsZfEu8Ars/3Wu9+G63W6K7flLrzWYYfamq+XAoGcAuUMdQR2T109kVq4GoqyOIe2&#10;XQtIijgL1kGeUsL6Fhp8ZTX9bJpfCZns1mGULcl59j4L8XbxhU4LtzepIACn7MFu4hrI3IgOqn6F&#10;ZgKl5gLqnh6YdEr/SckEbbyg5o8j05yS/gcJ1ZaHSeL6PhrJKo3A0Jcrh8sVJitwVVALfHG6tWDB&#10;keOoRdvBTSEWk1SuRzbC5Tnim1EtBrRqZLI8K+4tuLRx19vjd/cPAAAA//8DAFBLAwQUAAYACAAA&#10;ACEAk0sx8t0AAAAHAQAADwAAAGRycy9kb3ducmV2LnhtbEyOUUvDMBSF3wX/Q7iCby5dtV3tmg4Z&#10;iDAQ2eoPyJq7ptjclCZZ6783Punj4Ry+81W7xQzsipPrLQlYrxJgSK1VPXUCPpvXhwKY85KUHCyh&#10;gG90sKtvbypZKjvTEa8n37EIIVdKAdr7seTctRqNdCs7IsXuYicjfYxTx9Uk5wg3A0+TJOdG9hQf&#10;tBxxr7H9OgUjwB+O783cHjah2H/oJLxh2mRBiPu75WULzOPi/8bwqx/VoY5OZxtIOTYIyB6zuBSQ&#10;Zk/AYl+sc2BnAfnzBnhd8f/+9Q8AAAD//wMAUEsBAi0AFAAGAAgAAAAhALaDOJL+AAAA4QEAABMA&#10;AAAAAAAAAAAAAAAAAAAAAFtDb250ZW50X1R5cGVzXS54bWxQSwECLQAUAAYACAAAACEAOP0h/9YA&#10;AACUAQAACwAAAAAAAAAAAAAAAAAvAQAAX3JlbHMvLnJlbHNQSwECLQAUAAYACAAAACEAkwqW92UD&#10;AABEBwAADgAAAAAAAAAAAAAAAAAuAgAAZHJzL2Uyb0RvYy54bWxQSwECLQAUAAYACAAAACEAk0sx&#10;8t0AAAAHAQAADwAAAAAAAAAAAAAAAAC/BQAAZHJzL2Rvd25yZXYueG1sUEsFBgAAAAAEAAQA8wAA&#10;AMkGAAAAAA==&#10;" fillcolor="#9bbb59" stroked="f" strokeweight="0">
                      <v:fill color2="#74903b" focusposition=".5,.5" focussize="" focus="100%" type="gradientRadial">
                        <o:fill v:ext="view" type="gradientCenter"/>
                      </v:fill>
                      <v:shadow color="#4e6128" offset="1pt"/>
                    </v:shape>
                  </w:pict>
                </mc:Fallback>
              </mc:AlternateContent>
            </w:r>
          </w:p>
          <w:p w:rsidR="00481431" w:rsidRPr="00481431" w:rsidRDefault="00481431" w:rsidP="008D70F0">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b/>
                <w:sz w:val="24"/>
                <w:szCs w:val="24"/>
              </w:rPr>
            </w:pPr>
            <w:r w:rsidRPr="00481431">
              <w:rPr>
                <w:rFonts w:asciiTheme="minorHAnsi" w:hAnsiTheme="minorHAnsi"/>
                <w:b/>
                <w:sz w:val="24"/>
                <w:szCs w:val="24"/>
              </w:rPr>
              <w:t xml:space="preserve">  1%</w:t>
            </w:r>
          </w:p>
          <w:p w:rsidR="00481431" w:rsidRPr="00481431" w:rsidRDefault="00481431" w:rsidP="008D70F0">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b/>
                <w:sz w:val="24"/>
                <w:szCs w:val="24"/>
              </w:rPr>
            </w:pPr>
          </w:p>
        </w:tc>
      </w:tr>
      <w:tr w:rsidR="00481431" w:rsidRPr="00A16353" w:rsidTr="006B566D">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5778" w:type="dxa"/>
            <w:vAlign w:val="center"/>
          </w:tcPr>
          <w:p w:rsidR="00481431" w:rsidRPr="00481431" w:rsidRDefault="00481431" w:rsidP="008D70F0">
            <w:pPr>
              <w:jc w:val="center"/>
              <w:rPr>
                <w:rFonts w:asciiTheme="minorHAnsi" w:hAnsiTheme="minorHAnsi"/>
                <w:b w:val="0"/>
                <w:sz w:val="16"/>
                <w:szCs w:val="16"/>
              </w:rPr>
            </w:pPr>
            <w:r w:rsidRPr="00481431">
              <w:rPr>
                <w:rFonts w:asciiTheme="minorHAnsi" w:hAnsiTheme="minorHAnsi"/>
                <w:b w:val="0"/>
                <w:sz w:val="16"/>
                <w:szCs w:val="16"/>
              </w:rPr>
              <w:t xml:space="preserve">I am </w:t>
            </w:r>
            <w:r w:rsidRPr="00481431">
              <w:rPr>
                <w:rFonts w:asciiTheme="minorHAnsi" w:hAnsiTheme="minorHAnsi"/>
                <w:b w:val="0"/>
                <w:sz w:val="16"/>
                <w:szCs w:val="16"/>
                <w:u w:val="single"/>
              </w:rPr>
              <w:t>Better Off Financially</w:t>
            </w:r>
            <w:r w:rsidRPr="00481431">
              <w:rPr>
                <w:rFonts w:asciiTheme="minorHAnsi" w:hAnsiTheme="minorHAnsi"/>
                <w:b w:val="0"/>
                <w:sz w:val="16"/>
                <w:szCs w:val="16"/>
              </w:rPr>
              <w:t xml:space="preserve"> than I was one year ago.</w:t>
            </w:r>
          </w:p>
        </w:tc>
        <w:tc>
          <w:tcPr>
            <w:tcW w:w="1440" w:type="dxa"/>
            <w:vAlign w:val="center"/>
          </w:tcPr>
          <w:p w:rsidR="00481431" w:rsidRPr="00481431" w:rsidRDefault="00481431" w:rsidP="008D70F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4"/>
                <w:szCs w:val="24"/>
              </w:rPr>
            </w:pPr>
            <w:r w:rsidRPr="00481431">
              <w:rPr>
                <w:rFonts w:asciiTheme="minorHAnsi" w:hAnsiTheme="minorHAnsi"/>
                <w:b/>
                <w:sz w:val="24"/>
                <w:szCs w:val="24"/>
              </w:rPr>
              <w:t>19</w:t>
            </w:r>
          </w:p>
        </w:tc>
        <w:tc>
          <w:tcPr>
            <w:tcW w:w="1638" w:type="dxa"/>
            <w:vAlign w:val="center"/>
          </w:tcPr>
          <w:p w:rsidR="00481431" w:rsidRPr="00481431" w:rsidRDefault="00481431" w:rsidP="00C1123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4"/>
                <w:szCs w:val="24"/>
              </w:rPr>
            </w:pPr>
            <w:r w:rsidRPr="00481431">
              <w:rPr>
                <w:rFonts w:asciiTheme="minorHAnsi" w:hAnsiTheme="minorHAnsi"/>
                <w:b/>
                <w:sz w:val="24"/>
                <w:szCs w:val="24"/>
              </w:rPr>
              <w:t>No Change</w:t>
            </w:r>
          </w:p>
        </w:tc>
      </w:tr>
      <w:tr w:rsidR="00481431" w:rsidRPr="00A16353" w:rsidTr="006B566D">
        <w:trPr>
          <w:cnfStyle w:val="000000010000" w:firstRow="0" w:lastRow="0" w:firstColumn="0" w:lastColumn="0" w:oddVBand="0" w:evenVBand="0" w:oddHBand="0" w:evenHBand="1"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5778" w:type="dxa"/>
            <w:vAlign w:val="center"/>
          </w:tcPr>
          <w:p w:rsidR="00481431" w:rsidRPr="00481431" w:rsidRDefault="00481431" w:rsidP="008D70F0">
            <w:pPr>
              <w:jc w:val="center"/>
              <w:rPr>
                <w:rFonts w:asciiTheme="minorHAnsi" w:hAnsiTheme="minorHAnsi"/>
                <w:b w:val="0"/>
                <w:sz w:val="16"/>
                <w:szCs w:val="16"/>
              </w:rPr>
            </w:pPr>
            <w:r w:rsidRPr="00481431">
              <w:rPr>
                <w:rFonts w:asciiTheme="minorHAnsi" w:hAnsiTheme="minorHAnsi"/>
                <w:b w:val="0"/>
                <w:sz w:val="16"/>
                <w:szCs w:val="16"/>
              </w:rPr>
              <w:t xml:space="preserve">12 months from now I will be </w:t>
            </w:r>
            <w:r w:rsidRPr="00481431">
              <w:rPr>
                <w:rFonts w:asciiTheme="minorHAnsi" w:hAnsiTheme="minorHAnsi"/>
                <w:b w:val="0"/>
                <w:sz w:val="16"/>
                <w:szCs w:val="16"/>
                <w:u w:val="single"/>
              </w:rPr>
              <w:t>Better Off Financially</w:t>
            </w:r>
            <w:r w:rsidRPr="00481431">
              <w:rPr>
                <w:rFonts w:asciiTheme="minorHAnsi" w:hAnsiTheme="minorHAnsi"/>
                <w:b w:val="0"/>
                <w:sz w:val="16"/>
                <w:szCs w:val="16"/>
              </w:rPr>
              <w:t xml:space="preserve"> than I am today.</w:t>
            </w:r>
          </w:p>
        </w:tc>
        <w:tc>
          <w:tcPr>
            <w:tcW w:w="1440" w:type="dxa"/>
            <w:vAlign w:val="center"/>
          </w:tcPr>
          <w:p w:rsidR="00481431" w:rsidRPr="00481431" w:rsidRDefault="00481431" w:rsidP="008D70F0">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4"/>
                <w:szCs w:val="24"/>
              </w:rPr>
            </w:pPr>
            <w:r w:rsidRPr="00481431">
              <w:rPr>
                <w:rFonts w:asciiTheme="minorHAnsi" w:hAnsiTheme="minorHAnsi"/>
                <w:b/>
                <w:sz w:val="24"/>
                <w:szCs w:val="24"/>
              </w:rPr>
              <w:t>44</w:t>
            </w:r>
          </w:p>
        </w:tc>
        <w:tc>
          <w:tcPr>
            <w:tcW w:w="1638" w:type="dxa"/>
            <w:vAlign w:val="center"/>
          </w:tcPr>
          <w:p w:rsidR="00481431" w:rsidRPr="00481431" w:rsidRDefault="00481431" w:rsidP="008D70F0">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b/>
                <w:sz w:val="24"/>
                <w:szCs w:val="24"/>
              </w:rPr>
            </w:pPr>
            <w:r w:rsidRPr="00481431">
              <w:rPr>
                <w:rFonts w:asciiTheme="minorHAnsi" w:hAnsiTheme="minorHAnsi"/>
                <w:b/>
                <w:noProof/>
                <w:sz w:val="24"/>
                <w:szCs w:val="24"/>
              </w:rPr>
              <mc:AlternateContent>
                <mc:Choice Requires="wps">
                  <w:drawing>
                    <wp:anchor distT="0" distB="0" distL="114300" distR="114300" simplePos="0" relativeHeight="251720192" behindDoc="0" locked="0" layoutInCell="1" allowOverlap="1" wp14:anchorId="3E97877A" wp14:editId="563525D1">
                      <wp:simplePos x="0" y="0"/>
                      <wp:positionH relativeFrom="column">
                        <wp:posOffset>354965</wp:posOffset>
                      </wp:positionH>
                      <wp:positionV relativeFrom="paragraph">
                        <wp:posOffset>-62230</wp:posOffset>
                      </wp:positionV>
                      <wp:extent cx="178435" cy="281305"/>
                      <wp:effectExtent l="0" t="0" r="0" b="4445"/>
                      <wp:wrapNone/>
                      <wp:docPr id="24"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281305"/>
                              </a:xfrm>
                              <a:prstGeom prst="upArrow">
                                <a:avLst>
                                  <a:gd name="adj1" fmla="val 50000"/>
                                  <a:gd name="adj2" fmla="val 39413"/>
                                </a:avLst>
                              </a:prstGeom>
                              <a:gradFill rotWithShape="0">
                                <a:gsLst>
                                  <a:gs pos="0">
                                    <a:srgbClr val="9BBB59"/>
                                  </a:gs>
                                  <a:gs pos="100000">
                                    <a:srgbClr val="74903B"/>
                                  </a:gs>
                                </a:gsLst>
                                <a:path path="rect">
                                  <a:fillToRect l="50000" t="50000" r="50000" b="50000"/>
                                </a:path>
                              </a:gra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3" o:spid="_x0000_s1026" type="#_x0000_t68" style="position:absolute;margin-left:27.95pt;margin-top:-4.9pt;width:14.05pt;height:22.1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3VzZQMAAEUHAAAOAAAAZHJzL2Uyb0RvYy54bWysVV2PozYUfa+0/8HyOwMGEiAaZjVkkqrS&#10;bLvqbNVnBxtwCza1nWGmVf97rw3JJO0+VLvLg+WL7etzzv3w7fuXoUfPXBuhZInJTYQRl7ViQrYl&#10;/uXTPsgxMpZKRnsleYlfucHv7959dzuNGx6rTvWMawROpNlMY4k7a8dNGJq64wM1N2rkEhYbpQdq&#10;wdRtyDSdwPvQh3EUrcNJaTZqVXNj4O/DvIjvvP+m4bX9qWkMt6gvMWCzftR+PLgxvLulm1bTsRP1&#10;AoN+AYqBCgmXnl09UEvRUYv/uBpErZVRjb2p1RCqphE19xyADYn+xeapoyP3XEAcM55lMt/Obf3j&#10;80eNBCtxnGIk6QAxuj9a5a9GhCROoWk0G9j4NH7UjqMZH1X9u0FSbTsqW36vtZo6ThngIm5/eHXA&#10;GQaOosP0QTHwT8G/F+ul0YNzCDKgFx+T13NM+ItFNfwkWZ4mK4xqWIpzkkQrfwPdnA6P2tjvuRqQ&#10;m5T4OHo43j99fjTWR4Ut1Cj7jWDUDD0E+Zn2aBXBtyTBxZ74ck9SpLMMId0sHmF2unYJOtuLvkda&#10;2V+F7bx4jolfNCcQBo0KJJp/G90etr1GgKLERVVVq2Ih1pr52LybOISfOZKlRZRUF0cAU3u6aqS2&#10;Q24osYYS8DgaAPhJ/Qymq4WZuKuHZQY1scygLs6yOKLgBkLqU9uzdOh66UapHGsX8NMf7ksOCPu6&#10;ghgu3F00fTn8VZA4jaq4CPbrPAvSfboKiizKg4gUVbGO0iJ92P/tAJN00wnGuHwUkp9Kk6T/L/WX&#10;JjEXlS9ONJ2VV704E7kKg5fapwMQMpfbBmGhTfViKHE+B8QTdEm/k8zPLRX9PA+vsXt5QACn2JsO&#10;9/tVlKVJHmTZKgnSZBcFVb7fBvdbsl5nu2pb7ci1Djuvrfl6KTyQU6CcoY7A7qljE2LC1VCcJwX0&#10;bSYgKZI8WkdFhhHtW+jwtdX4s2l+JWS6W5M4X5Lz7H0W4u3iC50Wbm9SQQBO2eO7iWsgcyM6KPYK&#10;zQRKzQXUvT0w6ZT+E6MJ+niJzR9HqjlG/Q8Sqq0gaeoavzfSVRaDoS9XDpcrVNbgqsQW+Prp1oIF&#10;R46jFm0HNxFfTFK5JtkIl+ce34xqMaBXeybLu+Ieg0vb73p7/e7+AQAA//8DAFBLAwQUAAYACAAA&#10;ACEAvOqJ6N0AAAAHAQAADwAAAGRycy9kb3ducmV2LnhtbEyP0UrDQBRE3wX/YbmCb+3G2mia5qZI&#10;QYSCSBs/YJu9zQazuyG7aeLfe33Sx2GGmTPFbraduNIQWu8QHpYJCHK1161rED6r10UGIkTltOq8&#10;I4RvCrArb28KlWs/uSNdT7ERXOJCrhBMjH0uZagNWRWWvifH3sUPVkWWQyP1oCYut51cJcmTtKp1&#10;vGBUT3tD9ddptAjxcHyvpvrwPGb7D5OMb7Sq0hHx/m5+2YKINMe/MPziMzqUzHT2o9NBdAhpuuEk&#10;wmLDD9jP1nztjPC4TkGWhfzPX/4AAAD//wMAUEsBAi0AFAAGAAgAAAAhALaDOJL+AAAA4QEAABMA&#10;AAAAAAAAAAAAAAAAAAAAAFtDb250ZW50X1R5cGVzXS54bWxQSwECLQAUAAYACAAAACEAOP0h/9YA&#10;AACUAQAACwAAAAAAAAAAAAAAAAAvAQAAX3JlbHMvLnJlbHNQSwECLQAUAAYACAAAACEAAud1c2UD&#10;AABFBwAADgAAAAAAAAAAAAAAAAAuAgAAZHJzL2Uyb0RvYy54bWxQSwECLQAUAAYACAAAACEAvOqJ&#10;6N0AAAAHAQAADwAAAAAAAAAAAAAAAAC/BQAAZHJzL2Rvd25yZXYueG1sUEsFBgAAAAAEAAQA8wAA&#10;AMkGAAAAAA==&#10;" fillcolor="#9bbb59" stroked="f" strokeweight="0">
                      <v:fill color2="#74903b" focusposition=".5,.5" focussize="" focus="100%" type="gradientRadial">
                        <o:fill v:ext="view" type="gradientCenter"/>
                      </v:fill>
                      <v:shadow color="#4e6128" offset="1pt"/>
                    </v:shape>
                  </w:pict>
                </mc:Fallback>
              </mc:AlternateContent>
            </w:r>
            <w:r w:rsidRPr="00481431">
              <w:rPr>
                <w:rFonts w:asciiTheme="minorHAnsi" w:hAnsiTheme="minorHAnsi"/>
                <w:b/>
                <w:sz w:val="24"/>
                <w:szCs w:val="24"/>
              </w:rPr>
              <w:t>5%</w:t>
            </w:r>
          </w:p>
        </w:tc>
      </w:tr>
      <w:tr w:rsidR="00481431" w:rsidRPr="00A16353" w:rsidTr="006B566D">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5778" w:type="dxa"/>
            <w:vAlign w:val="center"/>
          </w:tcPr>
          <w:p w:rsidR="00481431" w:rsidRPr="00481431" w:rsidRDefault="00481431" w:rsidP="008D70F0">
            <w:pPr>
              <w:jc w:val="center"/>
              <w:rPr>
                <w:rFonts w:asciiTheme="minorHAnsi" w:hAnsiTheme="minorHAnsi"/>
                <w:b w:val="0"/>
                <w:sz w:val="16"/>
                <w:szCs w:val="16"/>
              </w:rPr>
            </w:pPr>
            <w:r w:rsidRPr="00481431">
              <w:rPr>
                <w:rFonts w:asciiTheme="minorHAnsi" w:hAnsiTheme="minorHAnsi"/>
                <w:b w:val="0"/>
                <w:sz w:val="16"/>
                <w:szCs w:val="16"/>
              </w:rPr>
              <w:t xml:space="preserve">Now is a </w:t>
            </w:r>
            <w:r w:rsidRPr="00481431">
              <w:rPr>
                <w:rFonts w:asciiTheme="minorHAnsi" w:hAnsiTheme="minorHAnsi"/>
                <w:b w:val="0"/>
                <w:sz w:val="16"/>
                <w:szCs w:val="16"/>
                <w:u w:val="single"/>
              </w:rPr>
              <w:t>Good Time To Make Large Purchases</w:t>
            </w:r>
            <w:r w:rsidRPr="00481431">
              <w:rPr>
                <w:rFonts w:asciiTheme="minorHAnsi" w:hAnsiTheme="minorHAnsi"/>
                <w:b w:val="0"/>
                <w:sz w:val="16"/>
                <w:szCs w:val="16"/>
              </w:rPr>
              <w:t>.</w:t>
            </w:r>
          </w:p>
        </w:tc>
        <w:tc>
          <w:tcPr>
            <w:tcW w:w="1440" w:type="dxa"/>
            <w:vAlign w:val="center"/>
          </w:tcPr>
          <w:p w:rsidR="00481431" w:rsidRPr="00481431" w:rsidRDefault="00481431" w:rsidP="008D70F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4"/>
                <w:szCs w:val="24"/>
              </w:rPr>
            </w:pPr>
            <w:r w:rsidRPr="00481431">
              <w:rPr>
                <w:rFonts w:asciiTheme="minorHAnsi" w:hAnsiTheme="minorHAnsi"/>
                <w:b/>
                <w:sz w:val="24"/>
                <w:szCs w:val="24"/>
              </w:rPr>
              <w:t>32</w:t>
            </w:r>
          </w:p>
        </w:tc>
        <w:tc>
          <w:tcPr>
            <w:tcW w:w="1638" w:type="dxa"/>
            <w:vAlign w:val="center"/>
          </w:tcPr>
          <w:p w:rsidR="00481431" w:rsidRPr="00481431" w:rsidRDefault="00481431" w:rsidP="00C1123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4"/>
                <w:szCs w:val="24"/>
              </w:rPr>
            </w:pPr>
            <w:r w:rsidRPr="00481431">
              <w:rPr>
                <w:rFonts w:asciiTheme="minorHAnsi" w:hAnsiTheme="minorHAnsi"/>
                <w:b/>
                <w:sz w:val="24"/>
                <w:szCs w:val="24"/>
              </w:rPr>
              <w:t>No Change</w:t>
            </w:r>
          </w:p>
        </w:tc>
      </w:tr>
      <w:tr w:rsidR="00481431" w:rsidRPr="00A16353" w:rsidTr="006B566D">
        <w:trPr>
          <w:cnfStyle w:val="000000010000" w:firstRow="0" w:lastRow="0" w:firstColumn="0" w:lastColumn="0" w:oddVBand="0" w:evenVBand="0" w:oddHBand="0" w:evenHBand="1"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5778" w:type="dxa"/>
            <w:vAlign w:val="center"/>
          </w:tcPr>
          <w:p w:rsidR="00481431" w:rsidRPr="00481431" w:rsidRDefault="00481431" w:rsidP="008D70F0">
            <w:pPr>
              <w:jc w:val="center"/>
              <w:rPr>
                <w:rFonts w:asciiTheme="minorHAnsi" w:hAnsiTheme="minorHAnsi"/>
                <w:b w:val="0"/>
                <w:sz w:val="16"/>
                <w:szCs w:val="16"/>
              </w:rPr>
            </w:pPr>
            <w:r w:rsidRPr="00481431">
              <w:rPr>
                <w:rFonts w:asciiTheme="minorHAnsi" w:hAnsiTheme="minorHAnsi"/>
                <w:b w:val="0"/>
                <w:sz w:val="16"/>
                <w:szCs w:val="16"/>
              </w:rPr>
              <w:t xml:space="preserve">Now is a </w:t>
            </w:r>
            <w:r w:rsidRPr="00481431">
              <w:rPr>
                <w:rFonts w:asciiTheme="minorHAnsi" w:hAnsiTheme="minorHAnsi"/>
                <w:b w:val="0"/>
                <w:sz w:val="16"/>
                <w:szCs w:val="16"/>
                <w:u w:val="single"/>
              </w:rPr>
              <w:t>Good Time To Buy A Home</w:t>
            </w:r>
            <w:r w:rsidRPr="00481431">
              <w:rPr>
                <w:rFonts w:asciiTheme="minorHAnsi" w:hAnsiTheme="minorHAnsi"/>
                <w:b w:val="0"/>
                <w:sz w:val="16"/>
                <w:szCs w:val="16"/>
              </w:rPr>
              <w:t>.</w:t>
            </w:r>
          </w:p>
        </w:tc>
        <w:tc>
          <w:tcPr>
            <w:tcW w:w="1440" w:type="dxa"/>
            <w:vAlign w:val="center"/>
          </w:tcPr>
          <w:p w:rsidR="00481431" w:rsidRPr="00481431" w:rsidRDefault="00481431" w:rsidP="008D70F0">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4"/>
                <w:szCs w:val="24"/>
              </w:rPr>
            </w:pPr>
            <w:r w:rsidRPr="00481431">
              <w:rPr>
                <w:rFonts w:asciiTheme="minorHAnsi" w:hAnsiTheme="minorHAnsi"/>
                <w:b/>
                <w:sz w:val="24"/>
                <w:szCs w:val="24"/>
              </w:rPr>
              <w:t>71</w:t>
            </w:r>
          </w:p>
        </w:tc>
        <w:tc>
          <w:tcPr>
            <w:tcW w:w="1638" w:type="dxa"/>
            <w:vAlign w:val="center"/>
          </w:tcPr>
          <w:p w:rsidR="00481431" w:rsidRPr="00481431" w:rsidRDefault="00481431" w:rsidP="008D70F0">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b/>
                <w:sz w:val="24"/>
                <w:szCs w:val="24"/>
              </w:rPr>
            </w:pPr>
            <w:r w:rsidRPr="00481431">
              <w:rPr>
                <w:rFonts w:asciiTheme="minorHAnsi" w:hAnsiTheme="minorHAnsi"/>
                <w:b/>
                <w:noProof/>
                <w:sz w:val="24"/>
                <w:szCs w:val="24"/>
              </w:rPr>
              <mc:AlternateContent>
                <mc:Choice Requires="wps">
                  <w:drawing>
                    <wp:anchor distT="0" distB="0" distL="114300" distR="114300" simplePos="0" relativeHeight="251717120" behindDoc="0" locked="0" layoutInCell="1" allowOverlap="1" wp14:anchorId="4FF89C3D" wp14:editId="0F8EBDC9">
                      <wp:simplePos x="0" y="0"/>
                      <wp:positionH relativeFrom="column">
                        <wp:posOffset>351790</wp:posOffset>
                      </wp:positionH>
                      <wp:positionV relativeFrom="paragraph">
                        <wp:posOffset>-92710</wp:posOffset>
                      </wp:positionV>
                      <wp:extent cx="178435" cy="281305"/>
                      <wp:effectExtent l="0" t="0" r="0" b="4445"/>
                      <wp:wrapNone/>
                      <wp:docPr id="25"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281305"/>
                              </a:xfrm>
                              <a:prstGeom prst="upArrow">
                                <a:avLst>
                                  <a:gd name="adj1" fmla="val 50000"/>
                                  <a:gd name="adj2" fmla="val 39413"/>
                                </a:avLst>
                              </a:prstGeom>
                              <a:gradFill rotWithShape="0">
                                <a:gsLst>
                                  <a:gs pos="0">
                                    <a:srgbClr val="9BBB59"/>
                                  </a:gs>
                                  <a:gs pos="100000">
                                    <a:srgbClr val="74903B"/>
                                  </a:gs>
                                </a:gsLst>
                                <a:path path="rect">
                                  <a:fillToRect l="50000" t="50000" r="50000" b="50000"/>
                                </a:path>
                              </a:gra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4" o:spid="_x0000_s1026" type="#_x0000_t68" style="position:absolute;margin-left:27.7pt;margin-top:-7.3pt;width:14.05pt;height:22.1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sPgZQMAAEUHAAAOAAAAZHJzL2Uyb0RvYy54bWysVV2PozYUfa+0/8HyOwMGEiAaZjVkkqrS&#10;bLvqbNVnBxtwCza1nWGmVf97rw3JJO0+VLvLg+WL7etzzv3w7fuXoUfPXBuhZInJTYQRl7ViQrYl&#10;/uXTPsgxMpZKRnsleYlfucHv7959dzuNGx6rTvWMawROpNlMY4k7a8dNGJq64wM1N2rkEhYbpQdq&#10;wdRtyDSdwPvQh3EUrcNJaTZqVXNj4O/DvIjvvP+m4bX9qWkMt6gvMWCzftR+PLgxvLulm1bTsRP1&#10;AoN+AYqBCgmXnl09UEvRUYv/uBpErZVRjb2p1RCqphE19xyADYn+xeapoyP3XEAcM55lMt/Obf3j&#10;80eNBCtxvMJI0gFidH+0yl+NCEmdQtNoNrDxafyoHUczPqr6d4Ok2nZUtvxeazV1nDLARdz+8OqA&#10;MwwcRYfpg2Lgn4J/L9ZLowfnEGRALz4mr+eY8BeLavhJsjxNAFoNS3FOkmjlb6Cb0+FRG/s9VwNy&#10;kxIfRw/H+6fPj8b6qLCFGmW/EYyaoYcgP9MerSL4liS42BNf7kmKlCTLpYvHkG5O1y5BZ3vR90gr&#10;+6uwnRfPMfGL5gTCoFGBRPNvo9vDttcIUJS4qKpqVSx3tGY+Nu8mDuFnjmRpESXVxRHA1J6uGqnt&#10;kBtKrKEEPI4GAH5SP4PpamEm7uphmUFNLDOoi7Msjii4gZD61PYsHbpeulEqx9oF/PSH+5IDwr6u&#10;IIYLdxdNXw5/FSROoyougv06z4J0n66CIovyICJFVayjtEgf9n87wCTddIIxLh+F5KfSJOn/S/2l&#10;ScxF5YsTTWflVS/ORK7C4KX26QCEzOW2QVhoU70YSpzPAfEEXdLvJPNzS0U/z8Nr7F4eEMAp9qbD&#10;/X4VZWmSB1m2SoI02UVBle+3wf2WrNfZrtpWO3Ktw85ra75eCg/kFChnqCOwe+rYhJhwNRTnSQF9&#10;mwlIiiSP1lGRYUT7Fjp8bTX+bJpfCZnu1iTOl+Q8e5+FeLv4QqeF25tUEIBT9vhu4hrI3IgOir1C&#10;M4FScwF1bw9MOqX/xGiCPl5i88eRao5R/4OEaitImrrG7410lcVg6MuVw+UKlTW4KrEFvn66tWDB&#10;keOoRdvBTcQXk1SuSTbC5bnHN6NaDOjVnsnyrrjH4NL2u95ev7t/AAAA//8DAFBLAwQUAAYACAAA&#10;ACEA35S1V98AAAAIAQAADwAAAGRycy9kb3ducmV2LnhtbEyP0UrDMBSG7wXfIRzBuy1dXbfaNR0y&#10;EGEgstUHyJqzpticlCZZ69sbr/Ty8H/8/3fK/Wx6dsPRdZYErJYJMKTGqo5aAZ/16yIH5rwkJXtL&#10;KOAbHeyr+7tSFspOdMLb2bcslpArpADt/VBw7hqNRrqlHZBidrWjkT6eY8vVKKdYbnqeJsmGG9lR&#10;XNBywIPG5uscjAB/PL3XU3PchvzwoZPwhmmdBSEeH+aXHTCPs/+D4Vc/qkMVnS42kHKsF5Bl60gK&#10;WKzWG2ARyJ8yYBcB6fMWeFXy/w9UPwAAAP//AwBQSwECLQAUAAYACAAAACEAtoM4kv4AAADhAQAA&#10;EwAAAAAAAAAAAAAAAAAAAAAAW0NvbnRlbnRfVHlwZXNdLnhtbFBLAQItABQABgAIAAAAIQA4/SH/&#10;1gAAAJQBAAALAAAAAAAAAAAAAAAAAC8BAABfcmVscy8ucmVsc1BLAQItABQABgAIAAAAIQB0jsPg&#10;ZQMAAEUHAAAOAAAAAAAAAAAAAAAAAC4CAABkcnMvZTJvRG9jLnhtbFBLAQItABQABgAIAAAAIQDf&#10;lLVX3wAAAAgBAAAPAAAAAAAAAAAAAAAAAL8FAABkcnMvZG93bnJldi54bWxQSwUGAAAAAAQABADz&#10;AAAAywYAAAAA&#10;" fillcolor="#9bbb59" stroked="f" strokeweight="0">
                      <v:fill color2="#74903b" focusposition=".5,.5" focussize="" focus="100%" type="gradientRadial">
                        <o:fill v:ext="view" type="gradientCenter"/>
                      </v:fill>
                      <v:shadow color="#4e6128" offset="1pt"/>
                    </v:shape>
                  </w:pict>
                </mc:Fallback>
              </mc:AlternateContent>
            </w:r>
            <w:r w:rsidRPr="00481431">
              <w:rPr>
                <w:rFonts w:asciiTheme="minorHAnsi" w:hAnsiTheme="minorHAnsi"/>
                <w:b/>
                <w:sz w:val="24"/>
                <w:szCs w:val="24"/>
              </w:rPr>
              <w:t>3%</w:t>
            </w:r>
          </w:p>
        </w:tc>
      </w:tr>
      <w:tr w:rsidR="00481431" w:rsidRPr="00A16353" w:rsidTr="006B566D">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5778" w:type="dxa"/>
            <w:vAlign w:val="center"/>
          </w:tcPr>
          <w:p w:rsidR="00481431" w:rsidRPr="00481431" w:rsidRDefault="00481431" w:rsidP="008D70F0">
            <w:pPr>
              <w:jc w:val="center"/>
              <w:rPr>
                <w:rFonts w:asciiTheme="minorHAnsi" w:hAnsiTheme="minorHAnsi"/>
                <w:b w:val="0"/>
                <w:sz w:val="16"/>
                <w:szCs w:val="16"/>
              </w:rPr>
            </w:pPr>
            <w:r w:rsidRPr="00481431">
              <w:rPr>
                <w:rFonts w:asciiTheme="minorHAnsi" w:hAnsiTheme="minorHAnsi"/>
                <w:b w:val="0"/>
                <w:sz w:val="16"/>
                <w:szCs w:val="16"/>
              </w:rPr>
              <w:t xml:space="preserve">Now is a </w:t>
            </w:r>
            <w:r w:rsidRPr="00481431">
              <w:rPr>
                <w:rFonts w:asciiTheme="minorHAnsi" w:hAnsiTheme="minorHAnsi"/>
                <w:b w:val="0"/>
                <w:sz w:val="16"/>
                <w:szCs w:val="16"/>
                <w:u w:val="single"/>
              </w:rPr>
              <w:t>Good Time To Buy A Car</w:t>
            </w:r>
            <w:r w:rsidRPr="00481431">
              <w:rPr>
                <w:rFonts w:asciiTheme="minorHAnsi" w:hAnsiTheme="minorHAnsi"/>
                <w:b w:val="0"/>
                <w:sz w:val="16"/>
                <w:szCs w:val="16"/>
              </w:rPr>
              <w:t>.</w:t>
            </w:r>
          </w:p>
        </w:tc>
        <w:tc>
          <w:tcPr>
            <w:tcW w:w="1440" w:type="dxa"/>
            <w:vAlign w:val="center"/>
          </w:tcPr>
          <w:p w:rsidR="00481431" w:rsidRPr="00481431" w:rsidRDefault="00481431" w:rsidP="008D70F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4"/>
                <w:szCs w:val="24"/>
              </w:rPr>
            </w:pPr>
            <w:r w:rsidRPr="00481431">
              <w:rPr>
                <w:rFonts w:asciiTheme="minorHAnsi" w:hAnsiTheme="minorHAnsi"/>
                <w:b/>
                <w:sz w:val="24"/>
                <w:szCs w:val="24"/>
              </w:rPr>
              <w:t>34</w:t>
            </w:r>
          </w:p>
        </w:tc>
        <w:tc>
          <w:tcPr>
            <w:tcW w:w="1638" w:type="dxa"/>
            <w:vAlign w:val="center"/>
          </w:tcPr>
          <w:p w:rsidR="00481431" w:rsidRPr="00481431" w:rsidRDefault="00481431" w:rsidP="008D70F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sz w:val="24"/>
                <w:szCs w:val="24"/>
              </w:rPr>
            </w:pPr>
            <w:r w:rsidRPr="00481431">
              <w:rPr>
                <w:rFonts w:asciiTheme="minorHAnsi" w:hAnsiTheme="minorHAnsi"/>
                <w:b/>
                <w:noProof/>
                <w:sz w:val="24"/>
                <w:szCs w:val="24"/>
              </w:rPr>
              <mc:AlternateContent>
                <mc:Choice Requires="wps">
                  <w:drawing>
                    <wp:anchor distT="0" distB="0" distL="114300" distR="114300" simplePos="0" relativeHeight="251724288" behindDoc="0" locked="0" layoutInCell="1" allowOverlap="1" wp14:anchorId="72137187" wp14:editId="6EF73A02">
                      <wp:simplePos x="0" y="0"/>
                      <wp:positionH relativeFrom="column">
                        <wp:posOffset>359410</wp:posOffset>
                      </wp:positionH>
                      <wp:positionV relativeFrom="paragraph">
                        <wp:posOffset>-45085</wp:posOffset>
                      </wp:positionV>
                      <wp:extent cx="178435" cy="281305"/>
                      <wp:effectExtent l="0" t="0" r="0" b="4445"/>
                      <wp:wrapNone/>
                      <wp:docPr id="27"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281305"/>
                              </a:xfrm>
                              <a:prstGeom prst="upArrow">
                                <a:avLst>
                                  <a:gd name="adj1" fmla="val 50000"/>
                                  <a:gd name="adj2" fmla="val 39413"/>
                                </a:avLst>
                              </a:prstGeom>
                              <a:gradFill rotWithShape="0">
                                <a:gsLst>
                                  <a:gs pos="0">
                                    <a:srgbClr val="9BBB59"/>
                                  </a:gs>
                                  <a:gs pos="100000">
                                    <a:srgbClr val="74903B"/>
                                  </a:gs>
                                </a:gsLst>
                                <a:path path="rect">
                                  <a:fillToRect l="50000" t="50000" r="50000" b="50000"/>
                                </a:path>
                              </a:gra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4" o:spid="_x0000_s1026" type="#_x0000_t68" style="position:absolute;margin-left:28.3pt;margin-top:-3.55pt;width:14.05pt;height:22.1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TwZQMAAEUHAAAOAAAAZHJzL2Uyb0RvYy54bWysVV2PozYUfa+0/8HyOwMGEiAaZjVkkqrS&#10;bLvqbNVnBxtwCza1nWGmVf97rw3JJO0+VLvLg+WL7etzzv3w7fuXoUfPXBuhZInJTYQRl7ViQrYl&#10;/uXTPsgxMpZKRnsleYlfucHv7959dzuNGx6rTvWMawROpNlMY4k7a8dNGJq64wM1N2rkEhYbpQdq&#10;wdRtyDSdwPvQh3EUrcNJaTZqVXNj4O/DvIjvvP+m4bX9qWkMt6gvMWCzftR+PLgxvLulm1bTsRP1&#10;AoN+AYqBCgmXnl09UEvRUYv/uBpErZVRjb2p1RCqphE19xyADYn+xeapoyP3XEAcM55lMt/Obf3j&#10;80eNBCtxnGEk6QAxuj9a5a9GhKROoWk0G9j4NH7UjqMZH1X9u0FSbTsqW36vtZo6ThngIm5/eHXA&#10;GQaOosP0QTHwT8G/F+ul0YNzCDKgFx+T13NM+ItFNfwkWZ4mK4xqWIpzkkQrfwPdnA6P2tjvuRqQ&#10;m5T4OHo43j99fjTWR4Ut1Cj7jWDUDD0E+Zn2aBXBtyTBxZ74ck9SpCRZLl08hnRzunYJOtuLvkda&#10;2V+F7bx4jolfNCcQBo0KJJp/G90etr1GgKLERVVVq2K5ozXzsXk3cQg/cyRLiyipLo4ApvZ01Uht&#10;h9xQYg0l4HE0APCT+hlMVwszcVcPywxqYplBXZxlcUTBDYTUp7Zn6dD10o1SOdYu4Kc/3JccEPZ1&#10;BTFcuLto+nL4qyBxGlVxEezXeRak+3QVFFmUBxEpqmIdpUX6sP/bASbpphOMcfkoJD+VJkn/X+ov&#10;TWIuKl+caDorr3pxJnIVBi+1TwcgZC63DcJCm+rFUOJ8Dogn6JJ+J5mfWyr6eR5eY/fygABOsTcd&#10;7verKEuTPMiyVRKkyS4Kqny/De63ZL3OdtW22pFrHXZeW/P1Unggp0A5Qx2B3VPHJsSEq6E4Twro&#10;20xAUiR5tI4K6A20b6HD11bjz6b5lZDpbk3ifEnOs/dZiLeLL3RauL1JBQE4ZY/vJq6BzI3ooNgr&#10;NBMoNRdQ9/bApFP6T4wm6OMlNn8cqeYY9T9IqLaCpKlr/N5IV1kMhr5cOVyuUFmDqxJb4OunWwsW&#10;HDmOWrQd3ER8MUnlmmQjXJ57fDOqxYBe7Zks74p7DC5tv+vt9bv7BwAA//8DAFBLAwQUAAYACAAA&#10;ACEAuakORtwAAAAHAQAADwAAAGRycy9kb3ducmV2LnhtbEyOUUvDMBSF3wX/Q7iCb1u66trS9XbI&#10;QISByFZ/QNZcm7ImKU2y1n9vfNLHwzl856v2ix7YjSbXW4OwWSfAyLRW9qZD+GxeVwUw54WRYrCG&#10;EL7Jwb6+v6tEKe1sTnQ7+45FiHGlQFDejyXnrlWkhVvbkUzsvuykhY9x6ricxBzheuBpkmRci97E&#10;ByVGOihqr+egEfzx9N7M7TEPxeFDJeGN0mYbEB8flpcdME+L/xvDr35Uhzo6XWww0rEBYZtlcYmw&#10;yjfAYl8858AuCE95Cryu+H//+gcAAP//AwBQSwECLQAUAAYACAAAACEAtoM4kv4AAADhAQAAEwAA&#10;AAAAAAAAAAAAAAAAAAAAW0NvbnRlbnRfVHlwZXNdLnhtbFBLAQItABQABgAIAAAAIQA4/SH/1gAA&#10;AJQBAAALAAAAAAAAAAAAAAAAAC8BAABfcmVscy8ucmVsc1BLAQItABQABgAIAAAAIQCpwGTwZQMA&#10;AEUHAAAOAAAAAAAAAAAAAAAAAC4CAABkcnMvZTJvRG9jLnhtbFBLAQItABQABgAIAAAAIQC5qQ5G&#10;3AAAAAcBAAAPAAAAAAAAAAAAAAAAAL8FAABkcnMvZG93bnJldi54bWxQSwUGAAAAAAQABADzAAAA&#10;yAYAAAAA&#10;" fillcolor="#9bbb59" stroked="f" strokeweight="0">
                      <v:fill color2="#74903b" focusposition=".5,.5" focussize="" focus="100%" type="gradientRadial">
                        <o:fill v:ext="view" type="gradientCenter"/>
                      </v:fill>
                      <v:shadow color="#4e6128" offset="1pt"/>
                    </v:shape>
                  </w:pict>
                </mc:Fallback>
              </mc:AlternateContent>
            </w:r>
            <w:r w:rsidRPr="00481431">
              <w:rPr>
                <w:rFonts w:asciiTheme="minorHAnsi" w:hAnsiTheme="minorHAnsi"/>
                <w:b/>
                <w:sz w:val="24"/>
                <w:szCs w:val="24"/>
              </w:rPr>
              <w:t>1%</w:t>
            </w:r>
          </w:p>
        </w:tc>
      </w:tr>
    </w:tbl>
    <w:p w:rsidR="00481431" w:rsidRPr="00A16353" w:rsidRDefault="00481431" w:rsidP="00481431">
      <w:pPr>
        <w:rPr>
          <w:rFonts w:asciiTheme="minorHAnsi" w:hAnsiTheme="minorHAnsi"/>
          <w:bCs/>
          <w:sz w:val="24"/>
        </w:rPr>
      </w:pPr>
    </w:p>
    <w:p w:rsidR="00525FB0" w:rsidRPr="00A16353" w:rsidRDefault="00481431" w:rsidP="00525FB0">
      <w:pPr>
        <w:pStyle w:val="BodyText"/>
        <w:jc w:val="both"/>
        <w:rPr>
          <w:rFonts w:asciiTheme="minorHAnsi" w:hAnsiTheme="minorHAnsi"/>
          <w:b/>
          <w:bCs/>
          <w:u w:val="single"/>
        </w:rPr>
      </w:pPr>
      <w:r>
        <w:rPr>
          <w:rFonts w:asciiTheme="minorHAnsi" w:hAnsiTheme="minorHAnsi"/>
          <w:bCs/>
        </w:rPr>
        <w:br w:type="column"/>
      </w:r>
      <w:r w:rsidR="00525FB0" w:rsidRPr="00A16353">
        <w:rPr>
          <w:rFonts w:asciiTheme="minorHAnsi" w:hAnsiTheme="minorHAnsi"/>
          <w:b/>
          <w:bCs/>
          <w:u w:val="single"/>
        </w:rPr>
        <w:lastRenderedPageBreak/>
        <w:t xml:space="preserve">Current </w:t>
      </w:r>
      <w:r w:rsidR="00525FB0">
        <w:rPr>
          <w:rFonts w:asciiTheme="minorHAnsi" w:hAnsiTheme="minorHAnsi"/>
          <w:b/>
          <w:bCs/>
          <w:u w:val="single"/>
        </w:rPr>
        <w:t>Economy</w:t>
      </w:r>
    </w:p>
    <w:p w:rsidR="00525FB0" w:rsidRPr="00A16353" w:rsidRDefault="00525FB0" w:rsidP="00525FB0">
      <w:pPr>
        <w:pStyle w:val="BodyText"/>
        <w:jc w:val="both"/>
        <w:rPr>
          <w:rFonts w:asciiTheme="minorHAnsi" w:hAnsiTheme="minorHAnsi"/>
          <w:bCs/>
        </w:rPr>
      </w:pPr>
    </w:p>
    <w:p w:rsidR="00525FB0" w:rsidRDefault="00525FB0" w:rsidP="00525FB0">
      <w:pPr>
        <w:pStyle w:val="BodyText"/>
        <w:jc w:val="both"/>
        <w:rPr>
          <w:rFonts w:asciiTheme="minorHAnsi" w:hAnsiTheme="minorHAnsi"/>
          <w:bCs/>
        </w:rPr>
      </w:pPr>
      <w:r>
        <w:rPr>
          <w:rFonts w:asciiTheme="minorHAnsi" w:hAnsiTheme="minorHAnsi"/>
          <w:bCs/>
        </w:rPr>
        <w:t xml:space="preserve">     </w:t>
      </w:r>
      <w:r w:rsidRPr="00A16353">
        <w:rPr>
          <w:rFonts w:asciiTheme="minorHAnsi" w:hAnsiTheme="minorHAnsi"/>
          <w:bCs/>
        </w:rPr>
        <w:t xml:space="preserve">     </w:t>
      </w:r>
      <w:r>
        <w:rPr>
          <w:rFonts w:asciiTheme="minorHAnsi" w:hAnsiTheme="minorHAnsi"/>
          <w:bCs/>
        </w:rPr>
        <w:t xml:space="preserve">The current situation index </w:t>
      </w:r>
      <w:r w:rsidR="00EC7C28">
        <w:rPr>
          <w:rFonts w:asciiTheme="minorHAnsi" w:hAnsiTheme="minorHAnsi"/>
          <w:bCs/>
        </w:rPr>
        <w:t xml:space="preserve">improved to -24 from -55 in January.  </w:t>
      </w:r>
      <w:r>
        <w:rPr>
          <w:rFonts w:asciiTheme="minorHAnsi" w:hAnsiTheme="minorHAnsi"/>
          <w:bCs/>
        </w:rPr>
        <w:t xml:space="preserve">The fact that the current situation index is still in the negative range indicates that the number of consumers who hold negative views of the current economy outnumber those who hold positive views of the current economy.  </w:t>
      </w:r>
      <w:r w:rsidRPr="0007741E">
        <w:rPr>
          <w:rFonts w:asciiTheme="minorHAnsi" w:hAnsiTheme="minorHAnsi"/>
          <w:bCs/>
        </w:rPr>
        <w:t xml:space="preserve"> </w:t>
      </w:r>
    </w:p>
    <w:p w:rsidR="00525FB0" w:rsidRDefault="00525FB0" w:rsidP="00525FB0">
      <w:pPr>
        <w:pStyle w:val="BodyText"/>
        <w:jc w:val="both"/>
        <w:rPr>
          <w:rFonts w:asciiTheme="minorHAnsi" w:hAnsiTheme="minorHAnsi"/>
          <w:bCs/>
        </w:rPr>
      </w:pPr>
    </w:p>
    <w:p w:rsidR="00525FB0" w:rsidRPr="00A16353" w:rsidRDefault="00EC7C28" w:rsidP="00525FB0">
      <w:pPr>
        <w:pStyle w:val="BodyText"/>
        <w:jc w:val="both"/>
        <w:rPr>
          <w:rFonts w:asciiTheme="minorHAnsi" w:hAnsiTheme="minorHAnsi"/>
          <w:bCs/>
        </w:rPr>
      </w:pPr>
      <w:r>
        <w:rPr>
          <w:rFonts w:asciiTheme="minorHAnsi" w:hAnsiTheme="minorHAnsi"/>
          <w:bCs/>
        </w:rPr>
        <w:t xml:space="preserve">     Local consumers continue to hold more positive views of the local economy than the overall U.S. economy.  </w:t>
      </w:r>
      <w:r w:rsidR="00525FB0">
        <w:rPr>
          <w:rFonts w:asciiTheme="minorHAnsi" w:hAnsiTheme="minorHAnsi"/>
          <w:bCs/>
        </w:rPr>
        <w:t xml:space="preserve">The </w:t>
      </w:r>
      <w:r w:rsidR="00525FB0" w:rsidRPr="00A16353">
        <w:rPr>
          <w:rFonts w:asciiTheme="minorHAnsi" w:hAnsiTheme="minorHAnsi"/>
          <w:bCs/>
        </w:rPr>
        <w:t xml:space="preserve">percent of local consumers who said that business conditions in the country as a whole </w:t>
      </w:r>
      <w:r w:rsidR="00525FB0">
        <w:rPr>
          <w:rFonts w:asciiTheme="minorHAnsi" w:hAnsiTheme="minorHAnsi"/>
          <w:bCs/>
        </w:rPr>
        <w:t xml:space="preserve">are “good” </w:t>
      </w:r>
      <w:r>
        <w:rPr>
          <w:rFonts w:asciiTheme="minorHAnsi" w:hAnsiTheme="minorHAnsi"/>
          <w:bCs/>
        </w:rPr>
        <w:t>rose to 11 from 7</w:t>
      </w:r>
      <w:r w:rsidR="00525FB0">
        <w:rPr>
          <w:rFonts w:asciiTheme="minorHAnsi" w:hAnsiTheme="minorHAnsi"/>
          <w:bCs/>
        </w:rPr>
        <w:t xml:space="preserve">.  </w:t>
      </w:r>
      <w:r>
        <w:rPr>
          <w:rFonts w:asciiTheme="minorHAnsi" w:hAnsiTheme="minorHAnsi"/>
          <w:bCs/>
        </w:rPr>
        <w:t>Comparatively, t</w:t>
      </w:r>
      <w:r w:rsidR="00525FB0">
        <w:rPr>
          <w:rFonts w:asciiTheme="minorHAnsi" w:hAnsiTheme="minorHAnsi"/>
          <w:bCs/>
        </w:rPr>
        <w:t xml:space="preserve">he percent who said that business conditions in </w:t>
      </w:r>
      <w:r w:rsidR="00525FB0" w:rsidRPr="00A16353">
        <w:rPr>
          <w:rFonts w:asciiTheme="minorHAnsi" w:hAnsiTheme="minorHAnsi"/>
          <w:bCs/>
        </w:rPr>
        <w:t xml:space="preserve">Middle Tennessee </w:t>
      </w:r>
      <w:r w:rsidR="00525FB0">
        <w:rPr>
          <w:rFonts w:asciiTheme="minorHAnsi" w:hAnsiTheme="minorHAnsi"/>
          <w:bCs/>
        </w:rPr>
        <w:t xml:space="preserve">are “good” gained to </w:t>
      </w:r>
      <w:r>
        <w:rPr>
          <w:rFonts w:asciiTheme="minorHAnsi" w:hAnsiTheme="minorHAnsi"/>
          <w:bCs/>
        </w:rPr>
        <w:t>32</w:t>
      </w:r>
      <w:r w:rsidR="00525FB0">
        <w:rPr>
          <w:rFonts w:asciiTheme="minorHAnsi" w:hAnsiTheme="minorHAnsi"/>
          <w:bCs/>
        </w:rPr>
        <w:t xml:space="preserve"> from 2</w:t>
      </w:r>
      <w:r>
        <w:rPr>
          <w:rFonts w:asciiTheme="minorHAnsi" w:hAnsiTheme="minorHAnsi"/>
          <w:bCs/>
        </w:rPr>
        <w:t>7</w:t>
      </w:r>
      <w:r w:rsidR="00525FB0">
        <w:rPr>
          <w:rFonts w:asciiTheme="minorHAnsi" w:hAnsiTheme="minorHAnsi"/>
          <w:bCs/>
        </w:rPr>
        <w:t xml:space="preserve">.     </w:t>
      </w:r>
      <w:r w:rsidR="00525FB0" w:rsidRPr="00A16353">
        <w:rPr>
          <w:rFonts w:asciiTheme="minorHAnsi" w:hAnsiTheme="minorHAnsi"/>
          <w:bCs/>
        </w:rPr>
        <w:t xml:space="preserve">  </w:t>
      </w:r>
    </w:p>
    <w:p w:rsidR="00525FB0" w:rsidRPr="00525FB0" w:rsidRDefault="00525FB0" w:rsidP="00525FB0">
      <w:pPr>
        <w:pStyle w:val="BodyText"/>
        <w:jc w:val="both"/>
        <w:rPr>
          <w:rFonts w:asciiTheme="minorHAnsi" w:hAnsiTheme="minorHAnsi"/>
          <w:bCs/>
        </w:rPr>
      </w:pPr>
    </w:p>
    <w:p w:rsidR="00E25F36" w:rsidRPr="00E25F36" w:rsidRDefault="00E25F36" w:rsidP="00525FB0">
      <w:pPr>
        <w:pStyle w:val="BodyText"/>
        <w:jc w:val="both"/>
        <w:rPr>
          <w:rFonts w:asciiTheme="minorHAnsi" w:hAnsiTheme="minorHAnsi"/>
          <w:b/>
          <w:bCs/>
          <w:u w:val="single"/>
        </w:rPr>
      </w:pPr>
      <w:r w:rsidRPr="00E25F36">
        <w:rPr>
          <w:rFonts w:asciiTheme="minorHAnsi" w:hAnsiTheme="minorHAnsi"/>
          <w:b/>
          <w:bCs/>
          <w:u w:val="single"/>
        </w:rPr>
        <w:t>Job Market</w:t>
      </w:r>
    </w:p>
    <w:p w:rsidR="00E25F36" w:rsidRDefault="00E25F36" w:rsidP="00525FB0">
      <w:pPr>
        <w:pStyle w:val="BodyText"/>
        <w:jc w:val="both"/>
        <w:rPr>
          <w:rFonts w:asciiTheme="minorHAnsi" w:hAnsiTheme="minorHAnsi"/>
          <w:bCs/>
        </w:rPr>
      </w:pPr>
    </w:p>
    <w:p w:rsidR="00525FB0" w:rsidRDefault="00525FB0" w:rsidP="00525FB0">
      <w:pPr>
        <w:pStyle w:val="BodyText"/>
        <w:jc w:val="both"/>
        <w:rPr>
          <w:rFonts w:asciiTheme="minorHAnsi" w:hAnsiTheme="minorHAnsi"/>
          <w:bCs/>
        </w:rPr>
      </w:pPr>
      <w:r>
        <w:rPr>
          <w:rFonts w:asciiTheme="minorHAnsi" w:hAnsiTheme="minorHAnsi"/>
          <w:bCs/>
        </w:rPr>
        <w:t xml:space="preserve">     Concerns about employment and the job market continue to place a drag on consumers’ feelings toward the economy.  Very few consumers have confidence in the current job market, with only five percent saying that jobs are “easy to find.” This percentage has remained </w:t>
      </w:r>
      <w:r w:rsidR="00EC7C28">
        <w:rPr>
          <w:rFonts w:asciiTheme="minorHAnsi" w:hAnsiTheme="minorHAnsi"/>
          <w:bCs/>
        </w:rPr>
        <w:t xml:space="preserve">relatively unchanged </w:t>
      </w:r>
      <w:r>
        <w:rPr>
          <w:rFonts w:asciiTheme="minorHAnsi" w:hAnsiTheme="minorHAnsi"/>
          <w:bCs/>
        </w:rPr>
        <w:t xml:space="preserve">in the single digits since December of 2008.  </w:t>
      </w:r>
    </w:p>
    <w:p w:rsidR="00525FB0" w:rsidRDefault="00525FB0" w:rsidP="00525FB0">
      <w:pPr>
        <w:pStyle w:val="BodyText"/>
        <w:jc w:val="both"/>
        <w:rPr>
          <w:rFonts w:asciiTheme="minorHAnsi" w:hAnsiTheme="minorHAnsi"/>
          <w:bCs/>
        </w:rPr>
      </w:pPr>
    </w:p>
    <w:p w:rsidR="00525FB0" w:rsidRDefault="00525FB0" w:rsidP="00525FB0">
      <w:pPr>
        <w:pStyle w:val="BodyText"/>
        <w:jc w:val="both"/>
        <w:rPr>
          <w:rFonts w:asciiTheme="minorHAnsi" w:hAnsiTheme="minorHAnsi"/>
          <w:bCs/>
        </w:rPr>
      </w:pPr>
      <w:r w:rsidRPr="00A16353">
        <w:rPr>
          <w:rFonts w:asciiTheme="minorHAnsi" w:hAnsiTheme="minorHAnsi"/>
          <w:bCs/>
        </w:rPr>
        <w:t xml:space="preserve">     </w:t>
      </w:r>
      <w:r>
        <w:rPr>
          <w:rFonts w:asciiTheme="minorHAnsi" w:hAnsiTheme="minorHAnsi"/>
          <w:bCs/>
        </w:rPr>
        <w:t xml:space="preserve">Further, </w:t>
      </w:r>
      <w:r w:rsidR="005C53EB">
        <w:rPr>
          <w:rFonts w:asciiTheme="minorHAnsi" w:hAnsiTheme="minorHAnsi"/>
          <w:bCs/>
        </w:rPr>
        <w:t xml:space="preserve">local consumers have not changed much with respect to their perceptions of the future job market.  </w:t>
      </w:r>
      <w:r>
        <w:rPr>
          <w:rFonts w:asciiTheme="minorHAnsi" w:hAnsiTheme="minorHAnsi"/>
          <w:bCs/>
        </w:rPr>
        <w:t>T</w:t>
      </w:r>
      <w:r w:rsidRPr="00A16353">
        <w:rPr>
          <w:rFonts w:asciiTheme="minorHAnsi" w:hAnsiTheme="minorHAnsi"/>
          <w:bCs/>
        </w:rPr>
        <w:t xml:space="preserve">he percent who said that there will be </w:t>
      </w:r>
      <w:r>
        <w:rPr>
          <w:rFonts w:asciiTheme="minorHAnsi" w:hAnsiTheme="minorHAnsi"/>
          <w:bCs/>
        </w:rPr>
        <w:t>“</w:t>
      </w:r>
      <w:r w:rsidRPr="00A16353">
        <w:rPr>
          <w:rFonts w:asciiTheme="minorHAnsi" w:hAnsiTheme="minorHAnsi"/>
          <w:bCs/>
        </w:rPr>
        <w:t>more job openings</w:t>
      </w:r>
      <w:r>
        <w:rPr>
          <w:rFonts w:asciiTheme="minorHAnsi" w:hAnsiTheme="minorHAnsi"/>
          <w:bCs/>
        </w:rPr>
        <w:t>”</w:t>
      </w:r>
      <w:r w:rsidRPr="00A16353">
        <w:rPr>
          <w:rFonts w:asciiTheme="minorHAnsi" w:hAnsiTheme="minorHAnsi"/>
          <w:bCs/>
        </w:rPr>
        <w:t xml:space="preserve"> in the next six months </w:t>
      </w:r>
      <w:r>
        <w:rPr>
          <w:rFonts w:asciiTheme="minorHAnsi" w:hAnsiTheme="minorHAnsi"/>
          <w:bCs/>
        </w:rPr>
        <w:t xml:space="preserve">gained only slightly to </w:t>
      </w:r>
      <w:r w:rsidR="005C53EB">
        <w:rPr>
          <w:rFonts w:asciiTheme="minorHAnsi" w:hAnsiTheme="minorHAnsi"/>
          <w:bCs/>
        </w:rPr>
        <w:t>40</w:t>
      </w:r>
      <w:r>
        <w:rPr>
          <w:rFonts w:asciiTheme="minorHAnsi" w:hAnsiTheme="minorHAnsi"/>
          <w:bCs/>
        </w:rPr>
        <w:t xml:space="preserve"> from 3</w:t>
      </w:r>
      <w:r w:rsidR="005C53EB">
        <w:rPr>
          <w:rFonts w:asciiTheme="minorHAnsi" w:hAnsiTheme="minorHAnsi"/>
          <w:bCs/>
        </w:rPr>
        <w:t>9</w:t>
      </w:r>
      <w:r>
        <w:rPr>
          <w:rFonts w:asciiTheme="minorHAnsi" w:hAnsiTheme="minorHAnsi"/>
          <w:bCs/>
        </w:rPr>
        <w:t xml:space="preserve">.  </w:t>
      </w:r>
    </w:p>
    <w:p w:rsidR="00525FB0" w:rsidRDefault="00525FB0" w:rsidP="00525FB0">
      <w:pPr>
        <w:pStyle w:val="BodyText"/>
        <w:jc w:val="both"/>
        <w:rPr>
          <w:rFonts w:asciiTheme="minorHAnsi" w:hAnsiTheme="minorHAnsi"/>
          <w:b/>
          <w:bCs/>
          <w:u w:val="single"/>
        </w:rPr>
      </w:pPr>
    </w:p>
    <w:p w:rsidR="00525FB0" w:rsidRDefault="00525FB0" w:rsidP="00525FB0">
      <w:pPr>
        <w:pStyle w:val="BodyText"/>
        <w:jc w:val="both"/>
        <w:rPr>
          <w:rFonts w:asciiTheme="minorHAnsi" w:hAnsiTheme="minorHAnsi"/>
          <w:b/>
          <w:bCs/>
          <w:u w:val="single"/>
        </w:rPr>
      </w:pPr>
      <w:r>
        <w:rPr>
          <w:rFonts w:asciiTheme="minorHAnsi" w:hAnsiTheme="minorHAnsi"/>
          <w:b/>
          <w:bCs/>
          <w:u w:val="single"/>
        </w:rPr>
        <w:t>Future Economy</w:t>
      </w:r>
    </w:p>
    <w:p w:rsidR="00525FB0" w:rsidRPr="004028B8" w:rsidRDefault="00525FB0" w:rsidP="00525FB0">
      <w:pPr>
        <w:pStyle w:val="BodyText"/>
        <w:jc w:val="both"/>
        <w:rPr>
          <w:rFonts w:asciiTheme="minorHAnsi" w:hAnsiTheme="minorHAnsi"/>
          <w:bCs/>
        </w:rPr>
      </w:pPr>
    </w:p>
    <w:p w:rsidR="00525FB0" w:rsidRDefault="00525FB0" w:rsidP="00525FB0">
      <w:pPr>
        <w:pStyle w:val="BodyText"/>
        <w:jc w:val="both"/>
        <w:rPr>
          <w:rFonts w:asciiTheme="minorHAnsi" w:hAnsiTheme="minorHAnsi"/>
          <w:bCs/>
        </w:rPr>
      </w:pPr>
      <w:r w:rsidRPr="004028B8">
        <w:rPr>
          <w:rFonts w:asciiTheme="minorHAnsi" w:hAnsiTheme="minorHAnsi"/>
          <w:bCs/>
        </w:rPr>
        <w:t xml:space="preserve">     </w:t>
      </w:r>
      <w:r w:rsidR="00A209E8">
        <w:rPr>
          <w:rFonts w:asciiTheme="minorHAnsi" w:hAnsiTheme="minorHAnsi"/>
          <w:bCs/>
        </w:rPr>
        <w:t xml:space="preserve">In contrast to the gains seen with respect to the present situation </w:t>
      </w:r>
      <w:r w:rsidR="001041CB">
        <w:rPr>
          <w:rFonts w:asciiTheme="minorHAnsi" w:hAnsiTheme="minorHAnsi"/>
          <w:bCs/>
        </w:rPr>
        <w:t xml:space="preserve">index </w:t>
      </w:r>
      <w:r w:rsidR="00A209E8">
        <w:rPr>
          <w:rFonts w:asciiTheme="minorHAnsi" w:hAnsiTheme="minorHAnsi"/>
          <w:bCs/>
        </w:rPr>
        <w:t xml:space="preserve">and the purchasing </w:t>
      </w:r>
      <w:r w:rsidR="001041CB">
        <w:rPr>
          <w:rFonts w:asciiTheme="minorHAnsi" w:hAnsiTheme="minorHAnsi"/>
          <w:bCs/>
        </w:rPr>
        <w:t>index</w:t>
      </w:r>
      <w:r w:rsidR="00A209E8">
        <w:rPr>
          <w:rFonts w:asciiTheme="minorHAnsi" w:hAnsiTheme="minorHAnsi"/>
          <w:bCs/>
        </w:rPr>
        <w:t>, t</w:t>
      </w:r>
      <w:r>
        <w:rPr>
          <w:rFonts w:asciiTheme="minorHAnsi" w:hAnsiTheme="minorHAnsi"/>
          <w:bCs/>
        </w:rPr>
        <w:t xml:space="preserve">he future expectations index </w:t>
      </w:r>
      <w:r w:rsidR="00A209E8">
        <w:rPr>
          <w:rFonts w:asciiTheme="minorHAnsi" w:hAnsiTheme="minorHAnsi"/>
          <w:bCs/>
        </w:rPr>
        <w:t>dropped to 115 from 125</w:t>
      </w:r>
      <w:r>
        <w:rPr>
          <w:rFonts w:asciiTheme="minorHAnsi" w:hAnsiTheme="minorHAnsi"/>
          <w:bCs/>
        </w:rPr>
        <w:t>, indicating that local consumers</w:t>
      </w:r>
      <w:r w:rsidR="001041CB">
        <w:rPr>
          <w:rFonts w:asciiTheme="minorHAnsi" w:hAnsiTheme="minorHAnsi"/>
          <w:bCs/>
        </w:rPr>
        <w:t xml:space="preserve">’ optimism about the future of the economy might be waning.  </w:t>
      </w:r>
      <w:r>
        <w:rPr>
          <w:rFonts w:asciiTheme="minorHAnsi" w:hAnsiTheme="minorHAnsi"/>
          <w:bCs/>
        </w:rPr>
        <w:t xml:space="preserve">The percent who said that six months from now business conditions in the U.S. will be “better” </w:t>
      </w:r>
      <w:r w:rsidR="00A209E8">
        <w:rPr>
          <w:rFonts w:asciiTheme="minorHAnsi" w:hAnsiTheme="minorHAnsi"/>
          <w:bCs/>
        </w:rPr>
        <w:t>dropped to 33 from 36</w:t>
      </w:r>
      <w:r>
        <w:rPr>
          <w:rFonts w:asciiTheme="minorHAnsi" w:hAnsiTheme="minorHAnsi"/>
          <w:bCs/>
        </w:rPr>
        <w:t>.  This was coupled with a</w:t>
      </w:r>
      <w:r w:rsidR="00A209E8">
        <w:rPr>
          <w:rFonts w:asciiTheme="minorHAnsi" w:hAnsiTheme="minorHAnsi"/>
          <w:bCs/>
        </w:rPr>
        <w:t xml:space="preserve">n increase in the percent who </w:t>
      </w:r>
      <w:r>
        <w:rPr>
          <w:rFonts w:asciiTheme="minorHAnsi" w:hAnsiTheme="minorHAnsi"/>
          <w:bCs/>
        </w:rPr>
        <w:t xml:space="preserve">expect the overall economy to be worse in the next six months, to </w:t>
      </w:r>
      <w:r w:rsidR="00A209E8">
        <w:rPr>
          <w:rFonts w:asciiTheme="minorHAnsi" w:hAnsiTheme="minorHAnsi"/>
          <w:bCs/>
        </w:rPr>
        <w:t>15 from 7</w:t>
      </w:r>
      <w:r>
        <w:rPr>
          <w:rFonts w:asciiTheme="minorHAnsi" w:hAnsiTheme="minorHAnsi"/>
          <w:bCs/>
        </w:rPr>
        <w:t xml:space="preserve">. </w:t>
      </w:r>
      <w:r w:rsidR="00E25F36">
        <w:rPr>
          <w:rFonts w:asciiTheme="minorHAnsi" w:hAnsiTheme="minorHAnsi"/>
          <w:bCs/>
        </w:rPr>
        <w:t xml:space="preserve">  Such negative expectations can be influenced by the recent increases in gasoline prices, fears of higher taxes, worries about the ever growing government debt, and general uncertainty about the direction of the economy.  </w:t>
      </w:r>
      <w:r w:rsidR="00A209E8">
        <w:rPr>
          <w:rFonts w:asciiTheme="minorHAnsi" w:hAnsiTheme="minorHAnsi"/>
          <w:bCs/>
        </w:rPr>
        <w:t xml:space="preserve">Expectations for the future of the local economy remained relatively unchanged.  </w:t>
      </w:r>
    </w:p>
    <w:p w:rsidR="00525FB0" w:rsidRDefault="00525FB0" w:rsidP="00525FB0">
      <w:pPr>
        <w:pStyle w:val="BodyText"/>
        <w:jc w:val="both"/>
        <w:rPr>
          <w:rFonts w:asciiTheme="minorHAnsi" w:hAnsiTheme="minorHAnsi"/>
          <w:bCs/>
        </w:rPr>
      </w:pPr>
    </w:p>
    <w:p w:rsidR="00525FB0" w:rsidRDefault="00525FB0" w:rsidP="00525FB0">
      <w:pPr>
        <w:pStyle w:val="BodyText"/>
        <w:jc w:val="both"/>
        <w:rPr>
          <w:rFonts w:asciiTheme="minorHAnsi" w:hAnsiTheme="minorHAnsi"/>
          <w:bCs/>
        </w:rPr>
      </w:pPr>
      <w:r>
        <w:rPr>
          <w:rFonts w:asciiTheme="minorHAnsi" w:hAnsiTheme="minorHAnsi"/>
          <w:bCs/>
        </w:rPr>
        <w:t xml:space="preserve">     </w:t>
      </w:r>
      <w:r w:rsidR="00A209E8">
        <w:rPr>
          <w:rFonts w:asciiTheme="minorHAnsi" w:hAnsiTheme="minorHAnsi"/>
          <w:bCs/>
        </w:rPr>
        <w:t xml:space="preserve">Decreases in expectations for the future of the overall economy were offset somewhat by </w:t>
      </w:r>
      <w:r w:rsidR="00774792">
        <w:rPr>
          <w:rFonts w:asciiTheme="minorHAnsi" w:hAnsiTheme="minorHAnsi"/>
          <w:bCs/>
        </w:rPr>
        <w:t xml:space="preserve">increased expectations regarding personal finances.  </w:t>
      </w:r>
      <w:r>
        <w:rPr>
          <w:rFonts w:asciiTheme="minorHAnsi" w:hAnsiTheme="minorHAnsi"/>
          <w:bCs/>
        </w:rPr>
        <w:t xml:space="preserve">The </w:t>
      </w:r>
      <w:r w:rsidRPr="00A16353">
        <w:rPr>
          <w:rFonts w:asciiTheme="minorHAnsi" w:hAnsiTheme="minorHAnsi"/>
          <w:bCs/>
        </w:rPr>
        <w:t xml:space="preserve">percent who said that in the next 12 months they will be “better off financially” </w:t>
      </w:r>
      <w:r>
        <w:rPr>
          <w:rFonts w:asciiTheme="minorHAnsi" w:hAnsiTheme="minorHAnsi"/>
          <w:bCs/>
        </w:rPr>
        <w:t xml:space="preserve">rose to </w:t>
      </w:r>
      <w:r w:rsidR="00774792">
        <w:rPr>
          <w:rFonts w:asciiTheme="minorHAnsi" w:hAnsiTheme="minorHAnsi"/>
          <w:bCs/>
        </w:rPr>
        <w:t>44</w:t>
      </w:r>
      <w:r>
        <w:rPr>
          <w:rFonts w:asciiTheme="minorHAnsi" w:hAnsiTheme="minorHAnsi"/>
          <w:bCs/>
        </w:rPr>
        <w:t xml:space="preserve"> from 3</w:t>
      </w:r>
      <w:r w:rsidR="00774792">
        <w:rPr>
          <w:rFonts w:asciiTheme="minorHAnsi" w:hAnsiTheme="minorHAnsi"/>
          <w:bCs/>
        </w:rPr>
        <w:t>9</w:t>
      </w:r>
      <w:r>
        <w:rPr>
          <w:rFonts w:asciiTheme="minorHAnsi" w:hAnsiTheme="minorHAnsi"/>
          <w:bCs/>
        </w:rPr>
        <w:t>.</w:t>
      </w:r>
    </w:p>
    <w:p w:rsidR="00731484" w:rsidRDefault="00731484" w:rsidP="00525FB0">
      <w:pPr>
        <w:pStyle w:val="BodyText"/>
        <w:jc w:val="both"/>
        <w:rPr>
          <w:rFonts w:asciiTheme="minorHAnsi" w:hAnsiTheme="minorHAnsi"/>
          <w:bCs/>
        </w:rPr>
      </w:pPr>
    </w:p>
    <w:p w:rsidR="00E25F36" w:rsidRDefault="00E25F36" w:rsidP="00B413F8">
      <w:pPr>
        <w:pStyle w:val="BodyText"/>
        <w:jc w:val="both"/>
        <w:rPr>
          <w:rFonts w:asciiTheme="minorHAnsi" w:hAnsiTheme="minorHAnsi"/>
          <w:b/>
          <w:bCs/>
          <w:u w:val="single"/>
        </w:rPr>
      </w:pPr>
    </w:p>
    <w:p w:rsidR="00E25F36" w:rsidRDefault="00E25F36" w:rsidP="00B413F8">
      <w:pPr>
        <w:pStyle w:val="BodyText"/>
        <w:jc w:val="both"/>
        <w:rPr>
          <w:rFonts w:asciiTheme="minorHAnsi" w:hAnsiTheme="minorHAnsi"/>
          <w:b/>
          <w:bCs/>
          <w:u w:val="single"/>
        </w:rPr>
      </w:pPr>
    </w:p>
    <w:p w:rsidR="00E25F36" w:rsidRDefault="00E25F36" w:rsidP="00B413F8">
      <w:pPr>
        <w:pStyle w:val="BodyText"/>
        <w:jc w:val="both"/>
        <w:rPr>
          <w:rFonts w:asciiTheme="minorHAnsi" w:hAnsiTheme="minorHAnsi"/>
          <w:b/>
          <w:bCs/>
          <w:u w:val="single"/>
        </w:rPr>
      </w:pPr>
    </w:p>
    <w:p w:rsidR="001A22D8" w:rsidRDefault="001A22D8" w:rsidP="00527F2A">
      <w:pPr>
        <w:rPr>
          <w:rFonts w:asciiTheme="minorHAnsi" w:hAnsiTheme="minorHAnsi"/>
          <w:b/>
          <w:bCs/>
          <w:sz w:val="24"/>
          <w:u w:val="single"/>
        </w:rPr>
      </w:pPr>
    </w:p>
    <w:p w:rsidR="0048745E" w:rsidRPr="00A16353" w:rsidRDefault="00527F2A" w:rsidP="00527F2A">
      <w:pPr>
        <w:rPr>
          <w:rFonts w:asciiTheme="minorHAnsi" w:hAnsiTheme="minorHAnsi"/>
          <w:b/>
          <w:bCs/>
          <w:sz w:val="24"/>
          <w:u w:val="single"/>
        </w:rPr>
      </w:pPr>
      <w:r w:rsidRPr="00A16353">
        <w:rPr>
          <w:rFonts w:asciiTheme="minorHAnsi" w:hAnsiTheme="minorHAnsi"/>
          <w:b/>
          <w:bCs/>
          <w:sz w:val="24"/>
          <w:u w:val="single"/>
        </w:rPr>
        <w:t>Taxes</w:t>
      </w:r>
    </w:p>
    <w:p w:rsidR="00527F2A" w:rsidRPr="00A16353" w:rsidRDefault="00527F2A" w:rsidP="00527F2A">
      <w:pPr>
        <w:rPr>
          <w:rFonts w:asciiTheme="minorHAnsi" w:hAnsiTheme="minorHAnsi"/>
          <w:bCs/>
          <w:sz w:val="24"/>
        </w:rPr>
      </w:pPr>
    </w:p>
    <w:p w:rsidR="00B4601A" w:rsidRDefault="00527F2A" w:rsidP="00527F2A">
      <w:pPr>
        <w:jc w:val="both"/>
        <w:rPr>
          <w:rFonts w:asciiTheme="minorHAnsi" w:hAnsiTheme="minorHAnsi"/>
          <w:bCs/>
          <w:sz w:val="24"/>
        </w:rPr>
      </w:pPr>
      <w:r w:rsidRPr="00A16353">
        <w:rPr>
          <w:rFonts w:asciiTheme="minorHAnsi" w:hAnsiTheme="minorHAnsi"/>
          <w:bCs/>
          <w:sz w:val="24"/>
        </w:rPr>
        <w:t xml:space="preserve">     </w:t>
      </w:r>
      <w:r w:rsidR="001A22D8">
        <w:rPr>
          <w:rFonts w:asciiTheme="minorHAnsi" w:hAnsiTheme="minorHAnsi"/>
          <w:bCs/>
          <w:sz w:val="24"/>
        </w:rPr>
        <w:t xml:space="preserve">Even though </w:t>
      </w:r>
      <w:r w:rsidR="00F744FC">
        <w:rPr>
          <w:rFonts w:asciiTheme="minorHAnsi" w:hAnsiTheme="minorHAnsi"/>
          <w:bCs/>
          <w:sz w:val="24"/>
        </w:rPr>
        <w:t>the purchasing index rose, inc</w:t>
      </w:r>
      <w:r w:rsidR="001A22D8">
        <w:rPr>
          <w:rFonts w:asciiTheme="minorHAnsi" w:hAnsiTheme="minorHAnsi"/>
          <w:bCs/>
          <w:sz w:val="24"/>
        </w:rPr>
        <w:t xml:space="preserve">reases in taxes can decrease the amount of money </w:t>
      </w:r>
      <w:r w:rsidR="00F744FC">
        <w:rPr>
          <w:rFonts w:asciiTheme="minorHAnsi" w:hAnsiTheme="minorHAnsi"/>
          <w:bCs/>
          <w:sz w:val="24"/>
        </w:rPr>
        <w:t xml:space="preserve">that </w:t>
      </w:r>
      <w:r w:rsidR="001A22D8">
        <w:rPr>
          <w:rFonts w:asciiTheme="minorHAnsi" w:hAnsiTheme="minorHAnsi"/>
          <w:bCs/>
          <w:sz w:val="24"/>
        </w:rPr>
        <w:t>consumers have for discretionary spending.  We see a s</w:t>
      </w:r>
      <w:r w:rsidR="00E25F36">
        <w:rPr>
          <w:rFonts w:asciiTheme="minorHAnsi" w:hAnsiTheme="minorHAnsi"/>
          <w:bCs/>
          <w:sz w:val="24"/>
        </w:rPr>
        <w:t xml:space="preserve">ignificant </w:t>
      </w:r>
      <w:r w:rsidR="001A22D8">
        <w:rPr>
          <w:rFonts w:asciiTheme="minorHAnsi" w:hAnsiTheme="minorHAnsi"/>
          <w:bCs/>
          <w:sz w:val="24"/>
        </w:rPr>
        <w:t xml:space="preserve">increase in the percent of consumers who expect their tax bills to rise in the future.  </w:t>
      </w:r>
      <w:r w:rsidR="000007A5">
        <w:rPr>
          <w:rFonts w:asciiTheme="minorHAnsi" w:hAnsiTheme="minorHAnsi"/>
          <w:bCs/>
          <w:sz w:val="24"/>
        </w:rPr>
        <w:t xml:space="preserve">The </w:t>
      </w:r>
      <w:r w:rsidR="00D16AAF">
        <w:rPr>
          <w:rFonts w:asciiTheme="minorHAnsi" w:hAnsiTheme="minorHAnsi"/>
          <w:bCs/>
          <w:sz w:val="24"/>
        </w:rPr>
        <w:t xml:space="preserve">percent who expect to pay more in taxes in the next year </w:t>
      </w:r>
      <w:r w:rsidR="001A22D8">
        <w:rPr>
          <w:rFonts w:asciiTheme="minorHAnsi" w:hAnsiTheme="minorHAnsi"/>
          <w:bCs/>
          <w:sz w:val="24"/>
        </w:rPr>
        <w:t>rose to 60 from 49 in January.  Con</w:t>
      </w:r>
      <w:r w:rsidR="00E25F36">
        <w:rPr>
          <w:rFonts w:asciiTheme="minorHAnsi" w:hAnsiTheme="minorHAnsi"/>
          <w:bCs/>
          <w:sz w:val="24"/>
        </w:rPr>
        <w:t xml:space="preserve">sumers </w:t>
      </w:r>
      <w:r w:rsidR="007044AA">
        <w:rPr>
          <w:rFonts w:asciiTheme="minorHAnsi" w:hAnsiTheme="minorHAnsi"/>
          <w:bCs/>
          <w:sz w:val="24"/>
        </w:rPr>
        <w:t xml:space="preserve">are becoming increasing fearful of higher taxes </w:t>
      </w:r>
      <w:r w:rsidR="00E25F36">
        <w:rPr>
          <w:rFonts w:asciiTheme="minorHAnsi" w:hAnsiTheme="minorHAnsi"/>
          <w:bCs/>
          <w:sz w:val="24"/>
        </w:rPr>
        <w:t>as a way to d</w:t>
      </w:r>
      <w:r w:rsidR="007044AA">
        <w:rPr>
          <w:rFonts w:asciiTheme="minorHAnsi" w:hAnsiTheme="minorHAnsi"/>
          <w:bCs/>
          <w:sz w:val="24"/>
        </w:rPr>
        <w:t>eal with</w:t>
      </w:r>
      <w:r w:rsidR="00E25F36">
        <w:rPr>
          <w:rFonts w:asciiTheme="minorHAnsi" w:hAnsiTheme="minorHAnsi"/>
          <w:bCs/>
          <w:sz w:val="24"/>
        </w:rPr>
        <w:t xml:space="preserve"> the</w:t>
      </w:r>
      <w:r w:rsidR="007044AA">
        <w:rPr>
          <w:rFonts w:asciiTheme="minorHAnsi" w:hAnsiTheme="minorHAnsi"/>
          <w:bCs/>
          <w:sz w:val="24"/>
        </w:rPr>
        <w:t xml:space="preserve"> ever growing government debt.  </w:t>
      </w:r>
      <w:r w:rsidR="00564941">
        <w:rPr>
          <w:rFonts w:asciiTheme="minorHAnsi" w:hAnsiTheme="minorHAnsi"/>
          <w:bCs/>
          <w:sz w:val="24"/>
        </w:rPr>
        <w:t xml:space="preserve">  </w:t>
      </w:r>
      <w:r w:rsidR="00D62C8E">
        <w:rPr>
          <w:rFonts w:asciiTheme="minorHAnsi" w:hAnsiTheme="minorHAnsi"/>
          <w:bCs/>
          <w:sz w:val="24"/>
        </w:rPr>
        <w:t xml:space="preserve">  </w:t>
      </w:r>
      <w:r w:rsidR="00D16AAF">
        <w:rPr>
          <w:rFonts w:asciiTheme="minorHAnsi" w:hAnsiTheme="minorHAnsi"/>
          <w:bCs/>
          <w:sz w:val="24"/>
        </w:rPr>
        <w:t xml:space="preserve">  </w:t>
      </w:r>
    </w:p>
    <w:p w:rsidR="00125541" w:rsidRDefault="00125541" w:rsidP="00527F2A">
      <w:pPr>
        <w:jc w:val="both"/>
        <w:rPr>
          <w:rFonts w:asciiTheme="minorHAnsi" w:hAnsiTheme="minorHAnsi"/>
          <w:bCs/>
          <w:sz w:val="24"/>
        </w:rPr>
      </w:pPr>
    </w:p>
    <w:p w:rsidR="00527F2A" w:rsidRPr="00480D3A" w:rsidRDefault="00847832" w:rsidP="00527F2A">
      <w:pPr>
        <w:jc w:val="center"/>
        <w:rPr>
          <w:bCs/>
          <w:sz w:val="24"/>
        </w:rPr>
      </w:pPr>
      <w:r>
        <w:rPr>
          <w:noProof/>
          <w:sz w:val="24"/>
        </w:rPr>
        <w:drawing>
          <wp:inline distT="0" distB="0" distL="0" distR="0">
            <wp:extent cx="5191125" cy="2819400"/>
            <wp:effectExtent l="0" t="0" r="0" b="0"/>
            <wp:docPr id="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2498" w:rsidRDefault="00E22498" w:rsidP="00527F2A">
      <w:pPr>
        <w:rPr>
          <w:rFonts w:asciiTheme="minorHAnsi" w:hAnsiTheme="minorHAnsi"/>
          <w:b/>
          <w:bCs/>
          <w:sz w:val="24"/>
          <w:u w:val="single"/>
        </w:rPr>
      </w:pPr>
    </w:p>
    <w:p w:rsidR="00282C99" w:rsidRDefault="00282C99" w:rsidP="00527F2A">
      <w:pPr>
        <w:rPr>
          <w:rFonts w:asciiTheme="minorHAnsi" w:hAnsiTheme="minorHAnsi"/>
          <w:b/>
          <w:bCs/>
          <w:sz w:val="24"/>
          <w:u w:val="single"/>
        </w:rPr>
      </w:pPr>
    </w:p>
    <w:p w:rsidR="00527F2A" w:rsidRPr="00A16353" w:rsidRDefault="00527F2A" w:rsidP="00527F2A">
      <w:pPr>
        <w:rPr>
          <w:rFonts w:asciiTheme="minorHAnsi" w:hAnsiTheme="minorHAnsi"/>
          <w:b/>
          <w:bCs/>
          <w:sz w:val="24"/>
          <w:u w:val="single"/>
        </w:rPr>
      </w:pPr>
      <w:r w:rsidRPr="00A16353">
        <w:rPr>
          <w:rFonts w:asciiTheme="minorHAnsi" w:hAnsiTheme="minorHAnsi"/>
          <w:b/>
          <w:bCs/>
          <w:sz w:val="24"/>
          <w:u w:val="single"/>
        </w:rPr>
        <w:t>Consumer Investments: The Stock Market</w:t>
      </w:r>
    </w:p>
    <w:p w:rsidR="00527F2A" w:rsidRPr="00A16353" w:rsidRDefault="00527F2A" w:rsidP="00527F2A">
      <w:pPr>
        <w:rPr>
          <w:rFonts w:asciiTheme="minorHAnsi" w:hAnsiTheme="minorHAnsi"/>
          <w:bCs/>
          <w:sz w:val="24"/>
        </w:rPr>
      </w:pPr>
    </w:p>
    <w:p w:rsidR="002C5E02" w:rsidRDefault="002C5E02" w:rsidP="00527F2A">
      <w:pPr>
        <w:jc w:val="both"/>
        <w:rPr>
          <w:rFonts w:asciiTheme="minorHAnsi" w:hAnsiTheme="minorHAnsi"/>
          <w:bCs/>
          <w:sz w:val="24"/>
        </w:rPr>
      </w:pPr>
      <w:r>
        <w:rPr>
          <w:rFonts w:asciiTheme="minorHAnsi" w:hAnsiTheme="minorHAnsi"/>
          <w:bCs/>
          <w:sz w:val="24"/>
        </w:rPr>
        <w:t xml:space="preserve">     </w:t>
      </w:r>
      <w:r w:rsidR="007044AA">
        <w:rPr>
          <w:rFonts w:asciiTheme="minorHAnsi" w:hAnsiTheme="minorHAnsi"/>
          <w:bCs/>
          <w:sz w:val="24"/>
        </w:rPr>
        <w:t>Offsetting consumers’ fear</w:t>
      </w:r>
      <w:r w:rsidR="00E25F36">
        <w:rPr>
          <w:rFonts w:asciiTheme="minorHAnsi" w:hAnsiTheme="minorHAnsi"/>
          <w:bCs/>
          <w:sz w:val="24"/>
        </w:rPr>
        <w:t>s</w:t>
      </w:r>
      <w:r w:rsidR="007044AA">
        <w:rPr>
          <w:rFonts w:asciiTheme="minorHAnsi" w:hAnsiTheme="minorHAnsi"/>
          <w:bCs/>
          <w:sz w:val="24"/>
        </w:rPr>
        <w:t xml:space="preserve"> about </w:t>
      </w:r>
      <w:r w:rsidR="00E25F36">
        <w:rPr>
          <w:rFonts w:asciiTheme="minorHAnsi" w:hAnsiTheme="minorHAnsi"/>
          <w:bCs/>
          <w:sz w:val="24"/>
        </w:rPr>
        <w:t xml:space="preserve">higher </w:t>
      </w:r>
      <w:r w:rsidR="007044AA">
        <w:rPr>
          <w:rFonts w:asciiTheme="minorHAnsi" w:hAnsiTheme="minorHAnsi"/>
          <w:bCs/>
          <w:sz w:val="24"/>
        </w:rPr>
        <w:t xml:space="preserve">taxes is an increased expectation that the U.S. stock market will continue to rise, thus giving consumers a greater feeling of wealth as their investments and savings grow.  Only 14 percent of consumers expect the stock market to decrease in value within the next 12 months.  </w:t>
      </w:r>
    </w:p>
    <w:p w:rsidR="00527F2A" w:rsidRPr="00480D3A" w:rsidRDefault="00847832" w:rsidP="00527F2A">
      <w:pPr>
        <w:jc w:val="center"/>
        <w:rPr>
          <w:bCs/>
          <w:sz w:val="24"/>
        </w:rPr>
      </w:pPr>
      <w:r>
        <w:rPr>
          <w:noProof/>
          <w:sz w:val="24"/>
        </w:rPr>
        <w:lastRenderedPageBreak/>
        <w:drawing>
          <wp:inline distT="0" distB="0" distL="0" distR="0">
            <wp:extent cx="5755341" cy="2649071"/>
            <wp:effectExtent l="0" t="0" r="0" b="0"/>
            <wp:docPr id="3"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80D3A" w:rsidRPr="00A16353" w:rsidRDefault="00AA5AD3" w:rsidP="00F85ECC">
      <w:pPr>
        <w:rPr>
          <w:rFonts w:asciiTheme="minorHAnsi" w:hAnsiTheme="minorHAnsi"/>
          <w:b/>
          <w:bCs/>
          <w:sz w:val="24"/>
          <w:u w:val="single"/>
        </w:rPr>
      </w:pPr>
      <w:r w:rsidRPr="00A16353">
        <w:rPr>
          <w:rFonts w:asciiTheme="minorHAnsi" w:hAnsiTheme="minorHAnsi"/>
          <w:b/>
          <w:bCs/>
          <w:sz w:val="24"/>
          <w:u w:val="single"/>
        </w:rPr>
        <w:t>Consumer Saving</w:t>
      </w:r>
    </w:p>
    <w:p w:rsidR="00480D3A" w:rsidRPr="00A16353" w:rsidRDefault="00480D3A" w:rsidP="00F85ECC">
      <w:pPr>
        <w:rPr>
          <w:rFonts w:asciiTheme="minorHAnsi" w:hAnsiTheme="minorHAnsi"/>
          <w:bCs/>
          <w:sz w:val="24"/>
        </w:rPr>
      </w:pPr>
    </w:p>
    <w:p w:rsidR="009C3D59" w:rsidRPr="00A16353" w:rsidRDefault="00480D3A" w:rsidP="00B8681A">
      <w:pPr>
        <w:jc w:val="both"/>
        <w:rPr>
          <w:rFonts w:asciiTheme="minorHAnsi" w:hAnsiTheme="minorHAnsi"/>
          <w:bCs/>
          <w:sz w:val="24"/>
        </w:rPr>
      </w:pPr>
      <w:r w:rsidRPr="00A16353">
        <w:rPr>
          <w:rFonts w:asciiTheme="minorHAnsi" w:hAnsiTheme="minorHAnsi"/>
          <w:bCs/>
          <w:sz w:val="24"/>
        </w:rPr>
        <w:t xml:space="preserve">     Consumers were also asked about the</w:t>
      </w:r>
      <w:r w:rsidR="00AA5AD3" w:rsidRPr="00A16353">
        <w:rPr>
          <w:rFonts w:asciiTheme="minorHAnsi" w:hAnsiTheme="minorHAnsi"/>
          <w:bCs/>
          <w:sz w:val="24"/>
        </w:rPr>
        <w:t xml:space="preserve">ir </w:t>
      </w:r>
      <w:r w:rsidR="00182CC7">
        <w:rPr>
          <w:rFonts w:asciiTheme="minorHAnsi" w:hAnsiTheme="minorHAnsi"/>
          <w:bCs/>
          <w:sz w:val="24"/>
        </w:rPr>
        <w:t xml:space="preserve">current </w:t>
      </w:r>
      <w:r w:rsidR="00AA5AD3" w:rsidRPr="00A16353">
        <w:rPr>
          <w:rFonts w:asciiTheme="minorHAnsi" w:hAnsiTheme="minorHAnsi"/>
          <w:bCs/>
          <w:sz w:val="24"/>
        </w:rPr>
        <w:t>level of saving</w:t>
      </w:r>
      <w:r w:rsidR="00182CC7">
        <w:rPr>
          <w:rFonts w:asciiTheme="minorHAnsi" w:hAnsiTheme="minorHAnsi"/>
          <w:bCs/>
          <w:sz w:val="24"/>
        </w:rPr>
        <w:t xml:space="preserve"> compared to their level of saving before the </w:t>
      </w:r>
      <w:r w:rsidR="00E8417A">
        <w:rPr>
          <w:rFonts w:asciiTheme="minorHAnsi" w:hAnsiTheme="minorHAnsi"/>
          <w:bCs/>
          <w:sz w:val="24"/>
        </w:rPr>
        <w:t xml:space="preserve">most </w:t>
      </w:r>
      <w:r w:rsidR="000E2578">
        <w:rPr>
          <w:rFonts w:asciiTheme="minorHAnsi" w:hAnsiTheme="minorHAnsi"/>
          <w:bCs/>
          <w:sz w:val="24"/>
        </w:rPr>
        <w:t xml:space="preserve">recent </w:t>
      </w:r>
      <w:r w:rsidR="00182CC7">
        <w:rPr>
          <w:rFonts w:asciiTheme="minorHAnsi" w:hAnsiTheme="minorHAnsi"/>
          <w:bCs/>
          <w:sz w:val="24"/>
        </w:rPr>
        <w:t xml:space="preserve">recession began.  </w:t>
      </w:r>
      <w:r w:rsidR="00E25F36">
        <w:rPr>
          <w:rFonts w:asciiTheme="minorHAnsi" w:hAnsiTheme="minorHAnsi"/>
          <w:bCs/>
          <w:sz w:val="24"/>
        </w:rPr>
        <w:t xml:space="preserve">While in the past year we saw a greater tendency for consumers to have decreased their level of saving, </w:t>
      </w:r>
      <w:r w:rsidR="00E028A8">
        <w:rPr>
          <w:rFonts w:asciiTheme="minorHAnsi" w:hAnsiTheme="minorHAnsi"/>
          <w:bCs/>
          <w:sz w:val="24"/>
        </w:rPr>
        <w:t xml:space="preserve">we </w:t>
      </w:r>
      <w:r w:rsidR="007044AA">
        <w:rPr>
          <w:rFonts w:asciiTheme="minorHAnsi" w:hAnsiTheme="minorHAnsi"/>
          <w:bCs/>
          <w:sz w:val="24"/>
        </w:rPr>
        <w:t xml:space="preserve">are beginning to see a slight </w:t>
      </w:r>
      <w:r w:rsidR="00D93BE6">
        <w:rPr>
          <w:rFonts w:asciiTheme="minorHAnsi" w:hAnsiTheme="minorHAnsi"/>
          <w:bCs/>
          <w:sz w:val="24"/>
        </w:rPr>
        <w:t>rise</w:t>
      </w:r>
      <w:r w:rsidR="007044AA">
        <w:rPr>
          <w:rFonts w:asciiTheme="minorHAnsi" w:hAnsiTheme="minorHAnsi"/>
          <w:bCs/>
          <w:sz w:val="24"/>
        </w:rPr>
        <w:t xml:space="preserve"> in the percent of consumers who are increasing their level of saving.  </w:t>
      </w:r>
    </w:p>
    <w:p w:rsidR="009C3D59" w:rsidRPr="00A16353" w:rsidRDefault="009C3D59" w:rsidP="00F85ECC">
      <w:pPr>
        <w:rPr>
          <w:rFonts w:asciiTheme="minorHAnsi" w:hAnsiTheme="minorHAnsi"/>
          <w:bCs/>
          <w:sz w:val="24"/>
        </w:rPr>
      </w:pPr>
    </w:p>
    <w:p w:rsidR="00480D3A" w:rsidRPr="00480D3A" w:rsidRDefault="00847832" w:rsidP="009B0620">
      <w:pPr>
        <w:jc w:val="center"/>
        <w:rPr>
          <w:bCs/>
          <w:sz w:val="24"/>
        </w:rPr>
      </w:pPr>
      <w:r>
        <w:rPr>
          <w:noProof/>
          <w:sz w:val="24"/>
        </w:rPr>
        <w:drawing>
          <wp:inline distT="0" distB="0" distL="0" distR="0" wp14:anchorId="5EF58269" wp14:editId="0B98D096">
            <wp:extent cx="5667375" cy="2781300"/>
            <wp:effectExtent l="0" t="0" r="0" b="0"/>
            <wp:docPr id="8"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67796" w:rsidRDefault="00A67796" w:rsidP="00FC0474">
      <w:pPr>
        <w:rPr>
          <w:rFonts w:asciiTheme="minorHAnsi" w:hAnsiTheme="minorHAnsi"/>
          <w:bCs/>
          <w:sz w:val="24"/>
        </w:rPr>
      </w:pPr>
    </w:p>
    <w:p w:rsidR="00E028A8" w:rsidRDefault="00E028A8" w:rsidP="008D7786">
      <w:pPr>
        <w:jc w:val="both"/>
        <w:rPr>
          <w:rFonts w:asciiTheme="minorHAnsi" w:hAnsiTheme="minorHAnsi"/>
          <w:bCs/>
          <w:sz w:val="24"/>
        </w:rPr>
      </w:pPr>
    </w:p>
    <w:p w:rsidR="00E028A8" w:rsidRDefault="00E028A8" w:rsidP="008D7786">
      <w:pPr>
        <w:jc w:val="both"/>
        <w:rPr>
          <w:rFonts w:asciiTheme="minorHAnsi" w:hAnsiTheme="minorHAnsi"/>
          <w:bCs/>
          <w:sz w:val="24"/>
        </w:rPr>
      </w:pPr>
    </w:p>
    <w:p w:rsidR="00E028A8" w:rsidRDefault="00E028A8" w:rsidP="008D7786">
      <w:pPr>
        <w:jc w:val="both"/>
        <w:rPr>
          <w:rFonts w:asciiTheme="minorHAnsi" w:hAnsiTheme="minorHAnsi"/>
          <w:bCs/>
          <w:sz w:val="24"/>
        </w:rPr>
      </w:pPr>
    </w:p>
    <w:p w:rsidR="00E25F36" w:rsidRDefault="00E25F36" w:rsidP="008D7786">
      <w:pPr>
        <w:jc w:val="both"/>
        <w:rPr>
          <w:rFonts w:asciiTheme="minorHAnsi" w:hAnsiTheme="minorHAnsi"/>
          <w:bCs/>
          <w:sz w:val="24"/>
        </w:rPr>
      </w:pPr>
    </w:p>
    <w:p w:rsidR="00E028A8" w:rsidRDefault="00E028A8" w:rsidP="008D7786">
      <w:pPr>
        <w:jc w:val="both"/>
        <w:rPr>
          <w:rFonts w:asciiTheme="minorHAnsi" w:hAnsiTheme="minorHAnsi"/>
          <w:bCs/>
          <w:sz w:val="24"/>
        </w:rPr>
      </w:pPr>
    </w:p>
    <w:p w:rsidR="009B0620" w:rsidRDefault="00256CBB" w:rsidP="008D7786">
      <w:pPr>
        <w:jc w:val="both"/>
        <w:rPr>
          <w:rFonts w:asciiTheme="minorHAnsi" w:hAnsiTheme="minorHAnsi"/>
          <w:bCs/>
          <w:sz w:val="24"/>
        </w:rPr>
      </w:pPr>
      <w:r>
        <w:rPr>
          <w:rFonts w:asciiTheme="minorHAnsi" w:hAnsiTheme="minorHAnsi"/>
          <w:bCs/>
          <w:sz w:val="24"/>
        </w:rPr>
        <w:lastRenderedPageBreak/>
        <w:t xml:space="preserve"> </w:t>
      </w:r>
      <w:r w:rsidR="00EE16F1" w:rsidRPr="00A16353">
        <w:rPr>
          <w:rFonts w:asciiTheme="minorHAnsi" w:hAnsiTheme="minorHAnsi"/>
          <w:bCs/>
          <w:sz w:val="24"/>
        </w:rPr>
        <w:t xml:space="preserve">     Consumers were also asked to look ahead and predict their level of saving after the </w:t>
      </w:r>
      <w:r w:rsidR="00E8417A">
        <w:rPr>
          <w:rFonts w:asciiTheme="minorHAnsi" w:hAnsiTheme="minorHAnsi"/>
          <w:bCs/>
          <w:sz w:val="24"/>
        </w:rPr>
        <w:t xml:space="preserve">most recent </w:t>
      </w:r>
      <w:r w:rsidR="00EE16F1" w:rsidRPr="00A16353">
        <w:rPr>
          <w:rFonts w:asciiTheme="minorHAnsi" w:hAnsiTheme="minorHAnsi"/>
          <w:bCs/>
          <w:sz w:val="24"/>
        </w:rPr>
        <w:t xml:space="preserve">recession </w:t>
      </w:r>
      <w:r w:rsidR="00955190">
        <w:rPr>
          <w:rFonts w:asciiTheme="minorHAnsi" w:hAnsiTheme="minorHAnsi"/>
          <w:bCs/>
          <w:sz w:val="24"/>
        </w:rPr>
        <w:t xml:space="preserve">has completely ended </w:t>
      </w:r>
      <w:r w:rsidR="00EE16F1" w:rsidRPr="00A16353">
        <w:rPr>
          <w:rFonts w:asciiTheme="minorHAnsi" w:hAnsiTheme="minorHAnsi"/>
          <w:bCs/>
          <w:sz w:val="24"/>
        </w:rPr>
        <w:t xml:space="preserve">and the economy strengthens. </w:t>
      </w:r>
      <w:r w:rsidR="004C2F21">
        <w:rPr>
          <w:rFonts w:asciiTheme="minorHAnsi" w:hAnsiTheme="minorHAnsi"/>
          <w:bCs/>
          <w:sz w:val="24"/>
        </w:rPr>
        <w:t xml:space="preserve">  </w:t>
      </w:r>
      <w:r w:rsidR="00B8681A">
        <w:rPr>
          <w:rFonts w:asciiTheme="minorHAnsi" w:hAnsiTheme="minorHAnsi"/>
          <w:bCs/>
          <w:sz w:val="24"/>
        </w:rPr>
        <w:t xml:space="preserve">We have consistently seen that consumers expect to either maintain their current level of saving or increase their level of saving in the future.  Very few consumers expect to decrease their level of saving.  </w:t>
      </w:r>
    </w:p>
    <w:p w:rsidR="00E25F36" w:rsidRPr="00A16353" w:rsidRDefault="00E25F36" w:rsidP="008D7786">
      <w:pPr>
        <w:jc w:val="both"/>
        <w:rPr>
          <w:rFonts w:asciiTheme="minorHAnsi" w:hAnsiTheme="minorHAnsi"/>
          <w:bCs/>
          <w:sz w:val="24"/>
        </w:rPr>
      </w:pPr>
    </w:p>
    <w:p w:rsidR="009B0620" w:rsidRPr="00EE16F1" w:rsidRDefault="009B0620" w:rsidP="00F85ECC">
      <w:pPr>
        <w:rPr>
          <w:bCs/>
          <w:sz w:val="24"/>
        </w:rPr>
      </w:pPr>
    </w:p>
    <w:p w:rsidR="002273AC" w:rsidRPr="002273AC" w:rsidRDefault="00847832" w:rsidP="00301E61">
      <w:pPr>
        <w:jc w:val="center"/>
        <w:rPr>
          <w:bCs/>
          <w:sz w:val="24"/>
        </w:rPr>
      </w:pPr>
      <w:r>
        <w:rPr>
          <w:noProof/>
          <w:sz w:val="24"/>
        </w:rPr>
        <w:drawing>
          <wp:inline distT="0" distB="0" distL="0" distR="0" wp14:anchorId="27AA5C9E" wp14:editId="4DAFCFCC">
            <wp:extent cx="5802086" cy="3439886"/>
            <wp:effectExtent l="0" t="0" r="8255" b="8255"/>
            <wp:docPr id="9"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5F36" w:rsidRDefault="00E25F36" w:rsidP="004C2F21">
      <w:pPr>
        <w:pStyle w:val="BodyText"/>
        <w:jc w:val="both"/>
        <w:rPr>
          <w:rFonts w:asciiTheme="minorHAnsi" w:hAnsiTheme="minorHAnsi"/>
          <w:b/>
          <w:bCs/>
          <w:u w:val="single"/>
        </w:rPr>
      </w:pPr>
    </w:p>
    <w:p w:rsidR="004C2F21" w:rsidRPr="00A16353" w:rsidRDefault="004C2F21" w:rsidP="004C2F21">
      <w:pPr>
        <w:pStyle w:val="BodyText"/>
        <w:jc w:val="both"/>
        <w:rPr>
          <w:rFonts w:asciiTheme="minorHAnsi" w:hAnsiTheme="minorHAnsi"/>
          <w:b/>
          <w:bCs/>
          <w:u w:val="single"/>
        </w:rPr>
      </w:pPr>
      <w:r w:rsidRPr="00A16353">
        <w:rPr>
          <w:rFonts w:asciiTheme="minorHAnsi" w:hAnsiTheme="minorHAnsi"/>
          <w:b/>
          <w:bCs/>
          <w:u w:val="single"/>
        </w:rPr>
        <w:t>The Bottom Line:  Consumer Spending</w:t>
      </w:r>
    </w:p>
    <w:p w:rsidR="004C2F21" w:rsidRPr="00A16353" w:rsidRDefault="004C2F21" w:rsidP="004C2F21">
      <w:pPr>
        <w:pStyle w:val="BodyText"/>
        <w:jc w:val="both"/>
        <w:rPr>
          <w:rFonts w:asciiTheme="minorHAnsi" w:hAnsiTheme="minorHAnsi"/>
          <w:bCs/>
        </w:rPr>
      </w:pPr>
    </w:p>
    <w:p w:rsidR="004C2F21" w:rsidRDefault="004C2F21" w:rsidP="00B8681A">
      <w:pPr>
        <w:pStyle w:val="BodyText"/>
        <w:jc w:val="both"/>
        <w:rPr>
          <w:rFonts w:asciiTheme="minorHAnsi" w:hAnsiTheme="minorHAnsi"/>
          <w:bCs/>
        </w:rPr>
      </w:pPr>
      <w:r>
        <w:rPr>
          <w:rFonts w:asciiTheme="minorHAnsi" w:hAnsiTheme="minorHAnsi"/>
          <w:bCs/>
        </w:rPr>
        <w:t xml:space="preserve">     </w:t>
      </w:r>
      <w:r w:rsidRPr="00A16353">
        <w:rPr>
          <w:rFonts w:asciiTheme="minorHAnsi" w:hAnsiTheme="minorHAnsi"/>
          <w:bCs/>
        </w:rPr>
        <w:t xml:space="preserve">A key question for local retailers is whether or not </w:t>
      </w:r>
      <w:r>
        <w:rPr>
          <w:rFonts w:asciiTheme="minorHAnsi" w:hAnsiTheme="minorHAnsi"/>
          <w:bCs/>
        </w:rPr>
        <w:t xml:space="preserve">consumers will increase their spending as a result of this </w:t>
      </w:r>
      <w:r w:rsidR="00D93BE6">
        <w:rPr>
          <w:rFonts w:asciiTheme="minorHAnsi" w:hAnsiTheme="minorHAnsi"/>
          <w:bCs/>
        </w:rPr>
        <w:t>growing</w:t>
      </w:r>
      <w:bookmarkStart w:id="0" w:name="_GoBack"/>
      <w:bookmarkEnd w:id="0"/>
      <w:r>
        <w:rPr>
          <w:rFonts w:asciiTheme="minorHAnsi" w:hAnsiTheme="minorHAnsi"/>
          <w:bCs/>
        </w:rPr>
        <w:t xml:space="preserve"> confidence in the economy.  </w:t>
      </w:r>
      <w:r w:rsidR="00B8681A">
        <w:rPr>
          <w:rFonts w:asciiTheme="minorHAnsi" w:hAnsiTheme="minorHAnsi"/>
          <w:bCs/>
        </w:rPr>
        <w:t xml:space="preserve">The overall increase in consumers’ outlook regarding the economy can have a positive effect on their desire to spend money.  The percent of consumers who expect to increase their level of consumer spending rose to 31 from 24.  However, some of this expected increase in consumer spending could be due in part to the recent increases in gasoline prices.  </w:t>
      </w:r>
    </w:p>
    <w:p w:rsidR="004C2F21" w:rsidRDefault="004C2F21" w:rsidP="004C2F21">
      <w:pPr>
        <w:pStyle w:val="BodyText"/>
        <w:jc w:val="both"/>
        <w:rPr>
          <w:rFonts w:asciiTheme="minorHAnsi" w:hAnsiTheme="minorHAnsi"/>
          <w:bCs/>
        </w:rPr>
      </w:pPr>
    </w:p>
    <w:p w:rsidR="004C2F21" w:rsidRDefault="004C2F21" w:rsidP="004C2F21">
      <w:pPr>
        <w:pStyle w:val="BodyText"/>
        <w:jc w:val="center"/>
        <w:rPr>
          <w:bCs/>
        </w:rPr>
      </w:pPr>
    </w:p>
    <w:p w:rsidR="004C2F21" w:rsidRDefault="004C2F21" w:rsidP="004C2F21">
      <w:pPr>
        <w:pStyle w:val="BodyText"/>
        <w:jc w:val="center"/>
        <w:rPr>
          <w:bCs/>
        </w:rPr>
      </w:pPr>
      <w:r>
        <w:rPr>
          <w:noProof/>
        </w:rPr>
        <w:lastRenderedPageBreak/>
        <w:drawing>
          <wp:inline distT="0" distB="0" distL="0" distR="0" wp14:anchorId="75D08158" wp14:editId="5AFEFC89">
            <wp:extent cx="5755341" cy="2877671"/>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C2F21" w:rsidRDefault="004C2F21" w:rsidP="004C2F21">
      <w:pPr>
        <w:pStyle w:val="BodyText"/>
        <w:jc w:val="both"/>
        <w:rPr>
          <w:rFonts w:asciiTheme="minorHAnsi" w:hAnsiTheme="minorHAnsi"/>
          <w:bCs/>
        </w:rPr>
      </w:pPr>
      <w:r>
        <w:rPr>
          <w:rFonts w:asciiTheme="minorHAnsi" w:hAnsiTheme="minorHAnsi"/>
          <w:bCs/>
        </w:rPr>
        <w:t xml:space="preserve">    </w:t>
      </w:r>
    </w:p>
    <w:p w:rsidR="00CE2440" w:rsidRPr="0091272D" w:rsidRDefault="00CE2440" w:rsidP="00CE2440">
      <w:pPr>
        <w:rPr>
          <w:rFonts w:asciiTheme="minorHAnsi" w:hAnsiTheme="minorHAnsi"/>
          <w:b/>
          <w:bCs/>
          <w:sz w:val="24"/>
          <w:u w:val="single"/>
        </w:rPr>
      </w:pPr>
    </w:p>
    <w:p w:rsidR="00D51D6B" w:rsidRPr="00A16353" w:rsidRDefault="00D51D6B" w:rsidP="00D51D6B">
      <w:pPr>
        <w:rPr>
          <w:rFonts w:asciiTheme="minorHAnsi" w:hAnsiTheme="minorHAnsi"/>
          <w:b/>
          <w:bCs/>
          <w:sz w:val="24"/>
          <w:u w:val="single"/>
        </w:rPr>
      </w:pPr>
      <w:r w:rsidRPr="00A16353">
        <w:rPr>
          <w:rFonts w:asciiTheme="minorHAnsi" w:hAnsiTheme="minorHAnsi"/>
          <w:b/>
          <w:bCs/>
          <w:sz w:val="24"/>
          <w:u w:val="single"/>
        </w:rPr>
        <w:t xml:space="preserve">Perceptions of the Economy:  Comparison </w:t>
      </w:r>
      <w:r w:rsidR="00D96C1F">
        <w:rPr>
          <w:rFonts w:asciiTheme="minorHAnsi" w:hAnsiTheme="minorHAnsi"/>
          <w:b/>
          <w:bCs/>
          <w:sz w:val="24"/>
          <w:u w:val="single"/>
        </w:rPr>
        <w:t>t</w:t>
      </w:r>
      <w:r w:rsidRPr="00A16353">
        <w:rPr>
          <w:rFonts w:asciiTheme="minorHAnsi" w:hAnsiTheme="minorHAnsi"/>
          <w:b/>
          <w:bCs/>
          <w:sz w:val="24"/>
          <w:u w:val="single"/>
        </w:rPr>
        <w:t xml:space="preserve">o </w:t>
      </w:r>
      <w:proofErr w:type="gramStart"/>
      <w:r w:rsidRPr="00A16353">
        <w:rPr>
          <w:rFonts w:asciiTheme="minorHAnsi" w:hAnsiTheme="minorHAnsi"/>
          <w:b/>
          <w:bCs/>
          <w:sz w:val="24"/>
          <w:u w:val="single"/>
        </w:rPr>
        <w:t>The</w:t>
      </w:r>
      <w:proofErr w:type="gramEnd"/>
      <w:r w:rsidRPr="00A16353">
        <w:rPr>
          <w:rFonts w:asciiTheme="minorHAnsi" w:hAnsiTheme="minorHAnsi"/>
          <w:b/>
          <w:bCs/>
          <w:sz w:val="24"/>
          <w:u w:val="single"/>
        </w:rPr>
        <w:t xml:space="preserve"> Nation</w:t>
      </w:r>
    </w:p>
    <w:p w:rsidR="00D51D6B" w:rsidRPr="00A16353" w:rsidRDefault="00D51D6B" w:rsidP="00D51D6B">
      <w:pPr>
        <w:rPr>
          <w:rFonts w:asciiTheme="minorHAnsi" w:hAnsiTheme="minorHAnsi"/>
          <w:b/>
          <w:bCs/>
          <w:sz w:val="24"/>
          <w:u w:val="single"/>
        </w:rPr>
      </w:pPr>
    </w:p>
    <w:p w:rsidR="00D51D6B" w:rsidRDefault="00D51D6B" w:rsidP="00D51D6B">
      <w:pPr>
        <w:pStyle w:val="BodyText"/>
        <w:jc w:val="both"/>
        <w:rPr>
          <w:rFonts w:asciiTheme="minorHAnsi" w:hAnsiTheme="minorHAnsi"/>
        </w:rPr>
      </w:pPr>
      <w:r w:rsidRPr="00A16353">
        <w:rPr>
          <w:rFonts w:asciiTheme="minorHAnsi" w:hAnsiTheme="minorHAnsi"/>
        </w:rPr>
        <w:t xml:space="preserve">     Compared to consumers across the country as a whole, local consumers have traditionally held more positive perceptions of the economy.  Even though local consumers have </w:t>
      </w:r>
      <w:r w:rsidR="00182CC7">
        <w:rPr>
          <w:rFonts w:asciiTheme="minorHAnsi" w:hAnsiTheme="minorHAnsi"/>
        </w:rPr>
        <w:t xml:space="preserve">slightly </w:t>
      </w:r>
      <w:r w:rsidRPr="00A16353">
        <w:rPr>
          <w:rFonts w:asciiTheme="minorHAnsi" w:hAnsiTheme="minorHAnsi"/>
        </w:rPr>
        <w:t>more negative views of the current</w:t>
      </w:r>
      <w:r w:rsidR="00A67796">
        <w:rPr>
          <w:rFonts w:asciiTheme="minorHAnsi" w:hAnsiTheme="minorHAnsi"/>
        </w:rPr>
        <w:t xml:space="preserve"> American economy</w:t>
      </w:r>
      <w:r w:rsidR="00107B80">
        <w:rPr>
          <w:rFonts w:asciiTheme="minorHAnsi" w:hAnsiTheme="minorHAnsi"/>
        </w:rPr>
        <w:t xml:space="preserve"> and the current job market</w:t>
      </w:r>
      <w:r w:rsidRPr="00A16353">
        <w:rPr>
          <w:rFonts w:asciiTheme="minorHAnsi" w:hAnsiTheme="minorHAnsi"/>
        </w:rPr>
        <w:t xml:space="preserve">, local consumers are </w:t>
      </w:r>
      <w:r w:rsidR="00955190">
        <w:rPr>
          <w:rFonts w:asciiTheme="minorHAnsi" w:hAnsiTheme="minorHAnsi"/>
        </w:rPr>
        <w:t xml:space="preserve">comparatively </w:t>
      </w:r>
      <w:r w:rsidRPr="00A16353">
        <w:rPr>
          <w:rFonts w:asciiTheme="minorHAnsi" w:hAnsiTheme="minorHAnsi"/>
        </w:rPr>
        <w:t xml:space="preserve">more optimistic about the future of the American economy, are more optimistic about the future of the job market, and are more optimistic about their personal financial situation in the next year.  The table below illustrates some of these differences in consumers’ responses to selected survey questions.  </w:t>
      </w:r>
    </w:p>
    <w:p w:rsidR="00D51D6B" w:rsidRPr="00A16353" w:rsidRDefault="00D51D6B" w:rsidP="00D51D6B">
      <w:pPr>
        <w:pStyle w:val="Bod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48"/>
        <w:gridCol w:w="900"/>
        <w:gridCol w:w="1008"/>
      </w:tblGrid>
      <w:tr w:rsidR="00D51D6B" w:rsidRPr="00A16353" w:rsidTr="001041CB">
        <w:tc>
          <w:tcPr>
            <w:tcW w:w="6948" w:type="dxa"/>
            <w:tcBorders>
              <w:top w:val="single" w:sz="4" w:space="0" w:color="auto"/>
              <w:left w:val="single" w:sz="4" w:space="0" w:color="auto"/>
              <w:bottom w:val="single" w:sz="4" w:space="0" w:color="auto"/>
              <w:right w:val="nil"/>
            </w:tcBorders>
            <w:shd w:val="clear" w:color="auto" w:fill="C6D9F1" w:themeFill="text2" w:themeFillTint="33"/>
            <w:vAlign w:val="center"/>
          </w:tcPr>
          <w:p w:rsidR="003416F4" w:rsidRPr="00851542" w:rsidRDefault="003416F4" w:rsidP="003416F4">
            <w:pPr>
              <w:rPr>
                <w:rFonts w:asciiTheme="minorHAnsi" w:hAnsiTheme="minorHAnsi"/>
                <w:sz w:val="28"/>
                <w:szCs w:val="28"/>
              </w:rPr>
            </w:pPr>
            <w:r w:rsidRPr="00851542">
              <w:rPr>
                <w:rFonts w:asciiTheme="minorHAnsi" w:hAnsiTheme="minorHAnsi"/>
                <w:sz w:val="28"/>
                <w:szCs w:val="28"/>
              </w:rPr>
              <w:t xml:space="preserve">Comparing Middle Tennessee Consumers to </w:t>
            </w:r>
          </w:p>
          <w:p w:rsidR="00D51D6B" w:rsidRPr="00851542" w:rsidRDefault="003416F4" w:rsidP="003416F4">
            <w:pPr>
              <w:rPr>
                <w:rFonts w:asciiTheme="minorHAnsi" w:hAnsiTheme="minorHAnsi"/>
                <w:sz w:val="28"/>
                <w:szCs w:val="28"/>
              </w:rPr>
            </w:pPr>
            <w:r w:rsidRPr="00851542">
              <w:rPr>
                <w:rFonts w:asciiTheme="minorHAnsi" w:hAnsiTheme="minorHAnsi"/>
                <w:sz w:val="28"/>
                <w:szCs w:val="28"/>
              </w:rPr>
              <w:t>Consumers Across the Country as a Whole</w:t>
            </w:r>
          </w:p>
        </w:tc>
        <w:tc>
          <w:tcPr>
            <w:tcW w:w="900" w:type="dxa"/>
            <w:tcBorders>
              <w:top w:val="single" w:sz="4" w:space="0" w:color="auto"/>
              <w:left w:val="nil"/>
              <w:bottom w:val="single" w:sz="4" w:space="0" w:color="auto"/>
              <w:right w:val="nil"/>
            </w:tcBorders>
            <w:shd w:val="clear" w:color="auto" w:fill="C6D9F1" w:themeFill="text2" w:themeFillTint="33"/>
          </w:tcPr>
          <w:p w:rsidR="00D51D6B" w:rsidRPr="00851542" w:rsidRDefault="00D51D6B" w:rsidP="00DF7588">
            <w:pPr>
              <w:jc w:val="center"/>
              <w:rPr>
                <w:rFonts w:asciiTheme="minorHAnsi" w:hAnsiTheme="minorHAnsi"/>
                <w:bCs/>
                <w:sz w:val="24"/>
                <w:szCs w:val="24"/>
              </w:rPr>
            </w:pPr>
          </w:p>
          <w:p w:rsidR="00D51D6B" w:rsidRPr="00851542" w:rsidRDefault="00D51D6B" w:rsidP="00DF7588">
            <w:pPr>
              <w:jc w:val="center"/>
              <w:rPr>
                <w:rFonts w:asciiTheme="minorHAnsi" w:hAnsiTheme="minorHAnsi"/>
                <w:bCs/>
                <w:sz w:val="24"/>
                <w:szCs w:val="24"/>
              </w:rPr>
            </w:pPr>
            <w:r w:rsidRPr="00851542">
              <w:rPr>
                <w:rFonts w:asciiTheme="minorHAnsi" w:hAnsiTheme="minorHAnsi"/>
                <w:bCs/>
                <w:sz w:val="24"/>
                <w:szCs w:val="24"/>
              </w:rPr>
              <w:t>Nation</w:t>
            </w:r>
          </w:p>
          <w:p w:rsidR="00D51D6B" w:rsidRPr="00851542" w:rsidRDefault="00D51D6B" w:rsidP="00DF7588">
            <w:pPr>
              <w:jc w:val="center"/>
              <w:rPr>
                <w:rFonts w:asciiTheme="minorHAnsi" w:hAnsiTheme="minorHAnsi"/>
                <w:bCs/>
                <w:sz w:val="24"/>
                <w:szCs w:val="24"/>
              </w:rPr>
            </w:pPr>
            <w:r w:rsidRPr="00851542">
              <w:rPr>
                <w:rFonts w:asciiTheme="minorHAnsi" w:hAnsiTheme="minorHAnsi"/>
                <w:bCs/>
                <w:sz w:val="24"/>
                <w:szCs w:val="24"/>
              </w:rPr>
              <w:t>(%)</w:t>
            </w:r>
          </w:p>
        </w:tc>
        <w:tc>
          <w:tcPr>
            <w:tcW w:w="1008" w:type="dxa"/>
            <w:tcBorders>
              <w:top w:val="single" w:sz="4" w:space="0" w:color="auto"/>
              <w:left w:val="nil"/>
              <w:bottom w:val="single" w:sz="4" w:space="0" w:color="auto"/>
              <w:right w:val="single" w:sz="4" w:space="0" w:color="auto"/>
            </w:tcBorders>
            <w:shd w:val="clear" w:color="auto" w:fill="C6D9F1" w:themeFill="text2" w:themeFillTint="33"/>
          </w:tcPr>
          <w:p w:rsidR="00D51D6B" w:rsidRPr="00851542" w:rsidRDefault="00D51D6B" w:rsidP="00DF7588">
            <w:pPr>
              <w:jc w:val="center"/>
              <w:rPr>
                <w:rFonts w:asciiTheme="minorHAnsi" w:hAnsiTheme="minorHAnsi"/>
                <w:bCs/>
                <w:sz w:val="24"/>
                <w:szCs w:val="24"/>
              </w:rPr>
            </w:pPr>
            <w:r w:rsidRPr="00851542">
              <w:rPr>
                <w:rFonts w:asciiTheme="minorHAnsi" w:hAnsiTheme="minorHAnsi"/>
                <w:bCs/>
                <w:sz w:val="24"/>
                <w:szCs w:val="24"/>
              </w:rPr>
              <w:t>Mid.</w:t>
            </w:r>
          </w:p>
          <w:p w:rsidR="00D51D6B" w:rsidRPr="00851542" w:rsidRDefault="00D51D6B" w:rsidP="00DF7588">
            <w:pPr>
              <w:jc w:val="center"/>
              <w:rPr>
                <w:rFonts w:asciiTheme="minorHAnsi" w:hAnsiTheme="minorHAnsi"/>
                <w:bCs/>
                <w:sz w:val="24"/>
                <w:szCs w:val="24"/>
              </w:rPr>
            </w:pPr>
            <w:r w:rsidRPr="00851542">
              <w:rPr>
                <w:rFonts w:asciiTheme="minorHAnsi" w:hAnsiTheme="minorHAnsi"/>
                <w:bCs/>
                <w:sz w:val="24"/>
                <w:szCs w:val="24"/>
              </w:rPr>
              <w:t>Tenn.</w:t>
            </w:r>
          </w:p>
          <w:p w:rsidR="00D51D6B" w:rsidRPr="00851542" w:rsidRDefault="00D51D6B" w:rsidP="00DF7588">
            <w:pPr>
              <w:jc w:val="center"/>
              <w:rPr>
                <w:rFonts w:asciiTheme="minorHAnsi" w:hAnsiTheme="minorHAnsi"/>
                <w:bCs/>
                <w:sz w:val="24"/>
                <w:szCs w:val="24"/>
              </w:rPr>
            </w:pPr>
            <w:r w:rsidRPr="00851542">
              <w:rPr>
                <w:rFonts w:asciiTheme="minorHAnsi" w:hAnsiTheme="minorHAnsi"/>
                <w:bCs/>
                <w:sz w:val="24"/>
                <w:szCs w:val="24"/>
              </w:rPr>
              <w:t>(%)</w:t>
            </w:r>
          </w:p>
        </w:tc>
      </w:tr>
      <w:tr w:rsidR="00D51D6B" w:rsidRPr="00A16353" w:rsidTr="00DF7588">
        <w:tc>
          <w:tcPr>
            <w:tcW w:w="6948" w:type="dxa"/>
            <w:tcBorders>
              <w:top w:val="single" w:sz="4" w:space="0" w:color="auto"/>
            </w:tcBorders>
          </w:tcPr>
          <w:p w:rsidR="00D51D6B" w:rsidRPr="00A16353" w:rsidRDefault="00D51D6B" w:rsidP="00DF7588">
            <w:pPr>
              <w:rPr>
                <w:rFonts w:asciiTheme="minorHAnsi" w:hAnsiTheme="minorHAnsi"/>
                <w:sz w:val="24"/>
              </w:rPr>
            </w:pPr>
            <w:r w:rsidRPr="00A16353">
              <w:rPr>
                <w:rFonts w:asciiTheme="minorHAnsi" w:hAnsiTheme="minorHAnsi"/>
                <w:sz w:val="24"/>
              </w:rPr>
              <w:t xml:space="preserve">Business conditions in the </w:t>
            </w:r>
            <w:smartTag w:uri="urn:schemas-microsoft-com:office:smarttags" w:element="place">
              <w:smartTag w:uri="urn:schemas-microsoft-com:office:smarttags" w:element="country-region">
                <w:r w:rsidRPr="00A16353">
                  <w:rPr>
                    <w:rFonts w:asciiTheme="minorHAnsi" w:hAnsiTheme="minorHAnsi"/>
                    <w:sz w:val="24"/>
                  </w:rPr>
                  <w:t>U.S.</w:t>
                </w:r>
              </w:smartTag>
            </w:smartTag>
            <w:r w:rsidRPr="00A16353">
              <w:rPr>
                <w:rFonts w:asciiTheme="minorHAnsi" w:hAnsiTheme="minorHAnsi"/>
                <w:sz w:val="24"/>
              </w:rPr>
              <w:t xml:space="preserve"> are good.</w:t>
            </w:r>
          </w:p>
        </w:tc>
        <w:tc>
          <w:tcPr>
            <w:tcW w:w="900" w:type="dxa"/>
            <w:tcBorders>
              <w:top w:val="single" w:sz="4" w:space="0" w:color="auto"/>
            </w:tcBorders>
          </w:tcPr>
          <w:p w:rsidR="00D51D6B" w:rsidRPr="00A16353" w:rsidRDefault="000F047A" w:rsidP="00345ED2">
            <w:pPr>
              <w:jc w:val="center"/>
              <w:rPr>
                <w:rFonts w:asciiTheme="minorHAnsi" w:hAnsiTheme="minorHAnsi"/>
                <w:b/>
                <w:sz w:val="24"/>
              </w:rPr>
            </w:pPr>
            <w:r>
              <w:rPr>
                <w:rFonts w:asciiTheme="minorHAnsi" w:hAnsiTheme="minorHAnsi"/>
                <w:b/>
                <w:sz w:val="24"/>
              </w:rPr>
              <w:t>1</w:t>
            </w:r>
            <w:r w:rsidR="007A4C2B">
              <w:rPr>
                <w:rFonts w:asciiTheme="minorHAnsi" w:hAnsiTheme="minorHAnsi"/>
                <w:b/>
                <w:sz w:val="24"/>
              </w:rPr>
              <w:t>5</w:t>
            </w:r>
            <w:r w:rsidR="00D51D6B" w:rsidRPr="00A16353">
              <w:rPr>
                <w:rStyle w:val="FootnoteReference"/>
                <w:rFonts w:asciiTheme="minorHAnsi" w:hAnsiTheme="minorHAnsi"/>
                <w:b/>
                <w:sz w:val="24"/>
              </w:rPr>
              <w:footnoteReference w:id="2"/>
            </w:r>
          </w:p>
        </w:tc>
        <w:tc>
          <w:tcPr>
            <w:tcW w:w="1008" w:type="dxa"/>
            <w:tcBorders>
              <w:top w:val="single" w:sz="4" w:space="0" w:color="auto"/>
            </w:tcBorders>
          </w:tcPr>
          <w:p w:rsidR="00D51D6B" w:rsidRPr="00A16353" w:rsidRDefault="007A4C2B" w:rsidP="000F047A">
            <w:pPr>
              <w:jc w:val="center"/>
              <w:rPr>
                <w:rFonts w:asciiTheme="minorHAnsi" w:hAnsiTheme="minorHAnsi"/>
                <w:b/>
                <w:sz w:val="24"/>
              </w:rPr>
            </w:pPr>
            <w:r>
              <w:rPr>
                <w:rFonts w:asciiTheme="minorHAnsi" w:hAnsiTheme="minorHAnsi"/>
                <w:b/>
                <w:sz w:val="24"/>
              </w:rPr>
              <w:t>11</w:t>
            </w:r>
          </w:p>
        </w:tc>
      </w:tr>
      <w:tr w:rsidR="00D51D6B" w:rsidRPr="00A16353" w:rsidTr="001041CB">
        <w:tc>
          <w:tcPr>
            <w:tcW w:w="6948" w:type="dxa"/>
            <w:shd w:val="clear" w:color="auto" w:fill="DBE5F1" w:themeFill="accent1" w:themeFillTint="33"/>
          </w:tcPr>
          <w:p w:rsidR="00D51D6B" w:rsidRPr="00A16353" w:rsidRDefault="00D51D6B" w:rsidP="00DF7588">
            <w:pPr>
              <w:rPr>
                <w:rFonts w:asciiTheme="minorHAnsi" w:hAnsiTheme="minorHAnsi"/>
                <w:sz w:val="24"/>
              </w:rPr>
            </w:pPr>
            <w:r w:rsidRPr="00A16353">
              <w:rPr>
                <w:rFonts w:asciiTheme="minorHAnsi" w:hAnsiTheme="minorHAnsi"/>
                <w:sz w:val="24"/>
              </w:rPr>
              <w:t xml:space="preserve">Six months from now, business conditions in the </w:t>
            </w:r>
            <w:smartTag w:uri="urn:schemas-microsoft-com:office:smarttags" w:element="place">
              <w:smartTag w:uri="urn:schemas-microsoft-com:office:smarttags" w:element="country-region">
                <w:r w:rsidRPr="00A16353">
                  <w:rPr>
                    <w:rFonts w:asciiTheme="minorHAnsi" w:hAnsiTheme="minorHAnsi"/>
                    <w:sz w:val="24"/>
                  </w:rPr>
                  <w:t>U.S.</w:t>
                </w:r>
              </w:smartTag>
            </w:smartTag>
            <w:r w:rsidRPr="00A16353">
              <w:rPr>
                <w:rFonts w:asciiTheme="minorHAnsi" w:hAnsiTheme="minorHAnsi"/>
                <w:sz w:val="24"/>
              </w:rPr>
              <w:t xml:space="preserve"> will be better.</w:t>
            </w:r>
          </w:p>
        </w:tc>
        <w:tc>
          <w:tcPr>
            <w:tcW w:w="900" w:type="dxa"/>
            <w:shd w:val="clear" w:color="auto" w:fill="DBE5F1" w:themeFill="accent1" w:themeFillTint="33"/>
          </w:tcPr>
          <w:p w:rsidR="00D51D6B" w:rsidRPr="00A16353" w:rsidRDefault="007A4C2B" w:rsidP="007A4C2B">
            <w:pPr>
              <w:jc w:val="center"/>
              <w:rPr>
                <w:rFonts w:asciiTheme="minorHAnsi" w:hAnsiTheme="minorHAnsi"/>
                <w:b/>
                <w:sz w:val="24"/>
              </w:rPr>
            </w:pPr>
            <w:r>
              <w:rPr>
                <w:rFonts w:asciiTheme="minorHAnsi" w:hAnsiTheme="minorHAnsi"/>
                <w:b/>
                <w:sz w:val="24"/>
              </w:rPr>
              <w:t>19</w:t>
            </w:r>
          </w:p>
        </w:tc>
        <w:tc>
          <w:tcPr>
            <w:tcW w:w="1008" w:type="dxa"/>
            <w:shd w:val="clear" w:color="auto" w:fill="DBE5F1" w:themeFill="accent1" w:themeFillTint="33"/>
          </w:tcPr>
          <w:p w:rsidR="00D51D6B" w:rsidRPr="00A16353" w:rsidRDefault="007A4C2B" w:rsidP="0022136E">
            <w:pPr>
              <w:jc w:val="center"/>
              <w:rPr>
                <w:rFonts w:asciiTheme="minorHAnsi" w:hAnsiTheme="minorHAnsi"/>
                <w:b/>
                <w:sz w:val="24"/>
              </w:rPr>
            </w:pPr>
            <w:r>
              <w:rPr>
                <w:rFonts w:asciiTheme="minorHAnsi" w:hAnsiTheme="minorHAnsi"/>
                <w:b/>
                <w:sz w:val="24"/>
              </w:rPr>
              <w:t>33</w:t>
            </w:r>
          </w:p>
        </w:tc>
      </w:tr>
      <w:tr w:rsidR="00D51D6B" w:rsidRPr="00A16353" w:rsidTr="00DF7588">
        <w:tc>
          <w:tcPr>
            <w:tcW w:w="6948" w:type="dxa"/>
          </w:tcPr>
          <w:p w:rsidR="00D51D6B" w:rsidRPr="00A16353" w:rsidRDefault="00D51D6B" w:rsidP="00DF7588">
            <w:pPr>
              <w:rPr>
                <w:rFonts w:asciiTheme="minorHAnsi" w:hAnsiTheme="minorHAnsi"/>
                <w:sz w:val="24"/>
              </w:rPr>
            </w:pPr>
            <w:r w:rsidRPr="00A16353">
              <w:rPr>
                <w:rFonts w:asciiTheme="minorHAnsi" w:hAnsiTheme="minorHAnsi"/>
                <w:sz w:val="24"/>
              </w:rPr>
              <w:t>Jobs are easy to find (plentiful).</w:t>
            </w:r>
          </w:p>
        </w:tc>
        <w:tc>
          <w:tcPr>
            <w:tcW w:w="900" w:type="dxa"/>
          </w:tcPr>
          <w:p w:rsidR="00D51D6B" w:rsidRPr="00A16353" w:rsidRDefault="007A4C2B" w:rsidP="007A4C2B">
            <w:pPr>
              <w:jc w:val="center"/>
              <w:rPr>
                <w:rFonts w:asciiTheme="minorHAnsi" w:hAnsiTheme="minorHAnsi"/>
                <w:b/>
                <w:sz w:val="24"/>
              </w:rPr>
            </w:pPr>
            <w:r>
              <w:rPr>
                <w:rFonts w:asciiTheme="minorHAnsi" w:hAnsiTheme="minorHAnsi"/>
                <w:b/>
                <w:sz w:val="24"/>
              </w:rPr>
              <w:t>8</w:t>
            </w:r>
          </w:p>
        </w:tc>
        <w:tc>
          <w:tcPr>
            <w:tcW w:w="1008" w:type="dxa"/>
          </w:tcPr>
          <w:p w:rsidR="00D51D6B" w:rsidRPr="00A16353" w:rsidRDefault="007A4C2B" w:rsidP="000F047A">
            <w:pPr>
              <w:jc w:val="center"/>
              <w:rPr>
                <w:rFonts w:asciiTheme="minorHAnsi" w:hAnsiTheme="minorHAnsi"/>
                <w:b/>
                <w:sz w:val="24"/>
              </w:rPr>
            </w:pPr>
            <w:r>
              <w:rPr>
                <w:rFonts w:asciiTheme="minorHAnsi" w:hAnsiTheme="minorHAnsi"/>
                <w:b/>
                <w:sz w:val="24"/>
              </w:rPr>
              <w:t>5</w:t>
            </w:r>
          </w:p>
        </w:tc>
      </w:tr>
      <w:tr w:rsidR="00D51D6B" w:rsidRPr="00A16353" w:rsidTr="001041CB">
        <w:tc>
          <w:tcPr>
            <w:tcW w:w="6948" w:type="dxa"/>
            <w:shd w:val="clear" w:color="auto" w:fill="DBE5F1" w:themeFill="accent1" w:themeFillTint="33"/>
          </w:tcPr>
          <w:p w:rsidR="00D51D6B" w:rsidRPr="00A16353" w:rsidRDefault="00D51D6B" w:rsidP="00DF7588">
            <w:pPr>
              <w:rPr>
                <w:rFonts w:asciiTheme="minorHAnsi" w:hAnsiTheme="minorHAnsi"/>
                <w:sz w:val="24"/>
              </w:rPr>
            </w:pPr>
            <w:r w:rsidRPr="00A16353">
              <w:rPr>
                <w:rFonts w:asciiTheme="minorHAnsi" w:hAnsiTheme="minorHAnsi"/>
                <w:sz w:val="24"/>
              </w:rPr>
              <w:t>Six months from now, there will be more job openings.</w:t>
            </w:r>
          </w:p>
        </w:tc>
        <w:tc>
          <w:tcPr>
            <w:tcW w:w="900" w:type="dxa"/>
            <w:shd w:val="clear" w:color="auto" w:fill="DBE5F1" w:themeFill="accent1" w:themeFillTint="33"/>
          </w:tcPr>
          <w:p w:rsidR="00D51D6B" w:rsidRPr="00A16353" w:rsidRDefault="007A4C2B" w:rsidP="007A4C2B">
            <w:pPr>
              <w:jc w:val="center"/>
              <w:rPr>
                <w:rFonts w:asciiTheme="minorHAnsi" w:hAnsiTheme="minorHAnsi"/>
                <w:b/>
                <w:sz w:val="24"/>
              </w:rPr>
            </w:pPr>
            <w:r>
              <w:rPr>
                <w:rFonts w:asciiTheme="minorHAnsi" w:hAnsiTheme="minorHAnsi"/>
                <w:b/>
                <w:sz w:val="24"/>
              </w:rPr>
              <w:t>17</w:t>
            </w:r>
          </w:p>
        </w:tc>
        <w:tc>
          <w:tcPr>
            <w:tcW w:w="1008" w:type="dxa"/>
            <w:shd w:val="clear" w:color="auto" w:fill="DBE5F1" w:themeFill="accent1" w:themeFillTint="33"/>
          </w:tcPr>
          <w:p w:rsidR="00D51D6B" w:rsidRPr="00A16353" w:rsidRDefault="007A4C2B" w:rsidP="000F047A">
            <w:pPr>
              <w:jc w:val="center"/>
              <w:rPr>
                <w:rFonts w:asciiTheme="minorHAnsi" w:hAnsiTheme="minorHAnsi"/>
                <w:b/>
                <w:sz w:val="24"/>
              </w:rPr>
            </w:pPr>
            <w:r>
              <w:rPr>
                <w:rFonts w:asciiTheme="minorHAnsi" w:hAnsiTheme="minorHAnsi"/>
                <w:b/>
                <w:sz w:val="24"/>
              </w:rPr>
              <w:t>40</w:t>
            </w:r>
          </w:p>
        </w:tc>
      </w:tr>
      <w:tr w:rsidR="00D51D6B" w:rsidRPr="00A16353" w:rsidTr="00DF7588">
        <w:tc>
          <w:tcPr>
            <w:tcW w:w="6948" w:type="dxa"/>
          </w:tcPr>
          <w:p w:rsidR="00D51D6B" w:rsidRPr="00A16353" w:rsidRDefault="00D51D6B" w:rsidP="00DF7588">
            <w:pPr>
              <w:rPr>
                <w:rFonts w:asciiTheme="minorHAnsi" w:hAnsiTheme="minorHAnsi"/>
                <w:sz w:val="24"/>
              </w:rPr>
            </w:pPr>
            <w:r w:rsidRPr="00A16353">
              <w:rPr>
                <w:rFonts w:asciiTheme="minorHAnsi" w:hAnsiTheme="minorHAnsi"/>
                <w:sz w:val="24"/>
              </w:rPr>
              <w:t>In 12 months my personal financial situation (income) will be better.</w:t>
            </w:r>
          </w:p>
        </w:tc>
        <w:tc>
          <w:tcPr>
            <w:tcW w:w="900" w:type="dxa"/>
          </w:tcPr>
          <w:p w:rsidR="00D51D6B" w:rsidRPr="00A16353" w:rsidRDefault="007A4C2B" w:rsidP="007A4C2B">
            <w:pPr>
              <w:jc w:val="center"/>
              <w:rPr>
                <w:rFonts w:asciiTheme="minorHAnsi" w:hAnsiTheme="minorHAnsi"/>
                <w:b/>
                <w:sz w:val="24"/>
              </w:rPr>
            </w:pPr>
            <w:r>
              <w:rPr>
                <w:rFonts w:asciiTheme="minorHAnsi" w:hAnsiTheme="minorHAnsi"/>
                <w:b/>
                <w:sz w:val="24"/>
              </w:rPr>
              <w:t>14</w:t>
            </w:r>
          </w:p>
        </w:tc>
        <w:tc>
          <w:tcPr>
            <w:tcW w:w="1008" w:type="dxa"/>
          </w:tcPr>
          <w:p w:rsidR="00D51D6B" w:rsidRPr="00A16353" w:rsidRDefault="007A4C2B" w:rsidP="000F047A">
            <w:pPr>
              <w:jc w:val="center"/>
              <w:rPr>
                <w:rFonts w:asciiTheme="minorHAnsi" w:hAnsiTheme="minorHAnsi"/>
                <w:b/>
                <w:sz w:val="24"/>
              </w:rPr>
            </w:pPr>
            <w:r>
              <w:rPr>
                <w:rFonts w:asciiTheme="minorHAnsi" w:hAnsiTheme="minorHAnsi"/>
                <w:b/>
                <w:sz w:val="24"/>
              </w:rPr>
              <w:t>44</w:t>
            </w:r>
          </w:p>
        </w:tc>
      </w:tr>
    </w:tbl>
    <w:p w:rsidR="00993846" w:rsidRDefault="00993846" w:rsidP="00D51D6B">
      <w:pPr>
        <w:pStyle w:val="BodyText"/>
        <w:jc w:val="both"/>
        <w:rPr>
          <w:rFonts w:asciiTheme="minorHAnsi" w:hAnsiTheme="minorHAnsi"/>
          <w:b/>
          <w:bCs/>
          <w:u w:val="single"/>
        </w:rPr>
      </w:pPr>
    </w:p>
    <w:p w:rsidR="00D96C1F" w:rsidRDefault="00D96C1F" w:rsidP="00D51D6B">
      <w:pPr>
        <w:pStyle w:val="BodyText"/>
        <w:jc w:val="both"/>
        <w:rPr>
          <w:rFonts w:asciiTheme="minorHAnsi" w:hAnsiTheme="minorHAnsi"/>
          <w:b/>
          <w:bCs/>
          <w:u w:val="single"/>
        </w:rPr>
      </w:pPr>
    </w:p>
    <w:p w:rsidR="00E10F3A" w:rsidRDefault="00E10F3A" w:rsidP="00D51D6B">
      <w:pPr>
        <w:pStyle w:val="BodyText"/>
        <w:jc w:val="both"/>
        <w:rPr>
          <w:rFonts w:asciiTheme="minorHAnsi" w:hAnsiTheme="minorHAnsi"/>
          <w:b/>
          <w:bCs/>
          <w:u w:val="single"/>
        </w:rPr>
      </w:pPr>
    </w:p>
    <w:p w:rsidR="00D51D6B" w:rsidRPr="00A16353" w:rsidRDefault="00D51D6B" w:rsidP="00D51D6B">
      <w:pPr>
        <w:pStyle w:val="BodyText"/>
        <w:jc w:val="both"/>
        <w:rPr>
          <w:rFonts w:asciiTheme="minorHAnsi" w:hAnsiTheme="minorHAnsi"/>
          <w:b/>
          <w:bCs/>
          <w:szCs w:val="24"/>
          <w:u w:val="single"/>
        </w:rPr>
      </w:pPr>
      <w:r w:rsidRPr="00A16353">
        <w:rPr>
          <w:rFonts w:asciiTheme="minorHAnsi" w:hAnsiTheme="minorHAnsi"/>
          <w:b/>
          <w:bCs/>
          <w:u w:val="single"/>
        </w:rPr>
        <w:lastRenderedPageBreak/>
        <w:t>The Psychology of Consumers</w:t>
      </w:r>
    </w:p>
    <w:p w:rsidR="00D51D6B" w:rsidRPr="00A16353" w:rsidRDefault="00D51D6B" w:rsidP="00D51D6B">
      <w:pPr>
        <w:jc w:val="both"/>
        <w:rPr>
          <w:rFonts w:asciiTheme="minorHAnsi" w:hAnsiTheme="minorHAnsi"/>
          <w:bCs/>
          <w:sz w:val="24"/>
          <w:szCs w:val="24"/>
        </w:rPr>
      </w:pPr>
    </w:p>
    <w:p w:rsidR="00D51D6B" w:rsidRPr="00A16353" w:rsidRDefault="00D51D6B" w:rsidP="00D51D6B">
      <w:pPr>
        <w:pStyle w:val="BodyText"/>
        <w:jc w:val="both"/>
        <w:rPr>
          <w:rFonts w:asciiTheme="minorHAnsi" w:hAnsiTheme="minorHAnsi"/>
          <w:bCs/>
        </w:rPr>
      </w:pPr>
      <w:r w:rsidRPr="00A16353">
        <w:rPr>
          <w:rFonts w:asciiTheme="minorHAnsi" w:hAnsiTheme="minorHAnsi"/>
          <w:szCs w:val="24"/>
        </w:rPr>
        <w:t xml:space="preserve">     The</w:t>
      </w:r>
      <w:r w:rsidRPr="00A16353">
        <w:rPr>
          <w:rFonts w:asciiTheme="minorHAnsi" w:hAnsiTheme="minorHAnsi"/>
        </w:rPr>
        <w:t xml:space="preserve"> psychology of consumers can have dramatic effects on the future of the economy.  Consumer spending makes up two-thirds of the American economy.  Decreases in consumer confidence that translate into reduced purchasing patterns can have significant negative effects on the economy.  Conversely, increases in consumer confidence that translate into accelerated consumer spending can have significant positive effects on the economy.  When consumers begin to feel comfortable about the future of the economy and their own personal financial situation, they will increase their spending.  </w:t>
      </w:r>
      <w:r w:rsidRPr="00A16353">
        <w:rPr>
          <w:rFonts w:asciiTheme="minorHAnsi" w:hAnsiTheme="minorHAnsi"/>
          <w:bCs/>
        </w:rPr>
        <w:t xml:space="preserve">Such spending would then help to grow the economy as </w:t>
      </w:r>
      <w:r w:rsidR="00761515">
        <w:rPr>
          <w:rFonts w:asciiTheme="minorHAnsi" w:hAnsiTheme="minorHAnsi"/>
          <w:bCs/>
        </w:rPr>
        <w:t xml:space="preserve">manufacturers begin to produce more and retailers begin to </w:t>
      </w:r>
      <w:r w:rsidRPr="00A16353">
        <w:rPr>
          <w:rFonts w:asciiTheme="minorHAnsi" w:hAnsiTheme="minorHAnsi"/>
          <w:bCs/>
        </w:rPr>
        <w:t>fill jobs to meet increased consumer demand.</w:t>
      </w:r>
      <w:r w:rsidR="00315469" w:rsidRPr="00A16353">
        <w:rPr>
          <w:rFonts w:asciiTheme="minorHAnsi" w:hAnsiTheme="minorHAnsi"/>
          <w:bCs/>
        </w:rPr>
        <w:t xml:space="preserve">  This type of self-fulfilling prophecy is illustrated below in the </w:t>
      </w:r>
      <w:r w:rsidR="00315469" w:rsidRPr="00B0737F">
        <w:rPr>
          <w:rFonts w:asciiTheme="minorHAnsi" w:hAnsiTheme="minorHAnsi"/>
          <w:bCs/>
          <w:i/>
        </w:rPr>
        <w:t>Consumer Confidence Cycle</w:t>
      </w:r>
      <w:r w:rsidR="00315469" w:rsidRPr="00A16353">
        <w:rPr>
          <w:rFonts w:asciiTheme="minorHAnsi" w:hAnsiTheme="minorHAnsi"/>
          <w:bCs/>
        </w:rPr>
        <w:t>.</w:t>
      </w:r>
      <w:r w:rsidRPr="00A16353">
        <w:rPr>
          <w:rFonts w:asciiTheme="minorHAnsi" w:hAnsiTheme="minorHAnsi"/>
          <w:bCs/>
        </w:rPr>
        <w:t xml:space="preserve"> </w:t>
      </w:r>
      <w:r w:rsidR="006B3840">
        <w:rPr>
          <w:rFonts w:asciiTheme="minorHAnsi" w:hAnsiTheme="minorHAnsi"/>
          <w:bCs/>
        </w:rPr>
        <w:t xml:space="preserve">    </w:t>
      </w:r>
    </w:p>
    <w:p w:rsidR="00D51D6B" w:rsidRPr="00A16353" w:rsidRDefault="00D51D6B" w:rsidP="00D51D6B">
      <w:pPr>
        <w:rPr>
          <w:rFonts w:asciiTheme="minorHAnsi" w:hAnsiTheme="minorHAnsi"/>
          <w:bCs/>
          <w:sz w:val="24"/>
        </w:rPr>
      </w:pPr>
    </w:p>
    <w:p w:rsidR="00315469" w:rsidRDefault="00315469" w:rsidP="00D75F8B">
      <w:pPr>
        <w:rPr>
          <w:bCs/>
          <w:sz w:val="24"/>
        </w:rPr>
      </w:pPr>
    </w:p>
    <w:p w:rsidR="00E1772C" w:rsidRDefault="00315469" w:rsidP="00D75F8B">
      <w:pPr>
        <w:rPr>
          <w:bCs/>
          <w:sz w:val="24"/>
        </w:rPr>
      </w:pPr>
      <w:r>
        <w:rPr>
          <w:bCs/>
          <w:sz w:val="24"/>
        </w:rPr>
        <w:br w:type="column"/>
      </w:r>
    </w:p>
    <w:p w:rsidR="00315469" w:rsidRPr="00B0737F" w:rsidRDefault="00315469" w:rsidP="00B0737F">
      <w:pPr>
        <w:jc w:val="center"/>
        <w:rPr>
          <w:rFonts w:asciiTheme="minorHAnsi" w:hAnsiTheme="minorHAnsi"/>
          <w:b/>
          <w:bCs/>
          <w:sz w:val="28"/>
          <w:szCs w:val="28"/>
        </w:rPr>
      </w:pPr>
      <w:r w:rsidRPr="00B0737F">
        <w:rPr>
          <w:rFonts w:asciiTheme="minorHAnsi" w:hAnsiTheme="minorHAnsi"/>
          <w:b/>
          <w:bCs/>
          <w:sz w:val="28"/>
          <w:szCs w:val="28"/>
        </w:rPr>
        <w:t>The Self-Fulfilling Prophecy of the Consumer Confidence Cycle</w:t>
      </w:r>
    </w:p>
    <w:p w:rsidR="00315469" w:rsidRPr="00A16353" w:rsidRDefault="00315469" w:rsidP="00D75F8B">
      <w:pPr>
        <w:rPr>
          <w:rFonts w:asciiTheme="minorHAnsi" w:hAnsiTheme="minorHAnsi"/>
          <w:bCs/>
          <w:sz w:val="24"/>
        </w:rPr>
      </w:pPr>
    </w:p>
    <w:p w:rsidR="00315469" w:rsidRPr="00A16353" w:rsidRDefault="00315469" w:rsidP="00D75F8B">
      <w:pPr>
        <w:rPr>
          <w:rFonts w:asciiTheme="minorHAnsi" w:hAnsiTheme="minorHAnsi"/>
          <w:bCs/>
          <w:sz w:val="24"/>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270"/>
        <w:gridCol w:w="4320"/>
      </w:tblGrid>
      <w:tr w:rsidR="00A16353" w:rsidRPr="00A16353" w:rsidTr="00DF7588">
        <w:tc>
          <w:tcPr>
            <w:tcW w:w="4428" w:type="dxa"/>
            <w:tcBorders>
              <w:top w:val="single" w:sz="4" w:space="0" w:color="auto"/>
              <w:left w:val="single" w:sz="4" w:space="0" w:color="auto"/>
              <w:bottom w:val="single" w:sz="4" w:space="0" w:color="auto"/>
              <w:right w:val="single" w:sz="4" w:space="0" w:color="auto"/>
            </w:tcBorders>
          </w:tcPr>
          <w:p w:rsidR="00315469" w:rsidRPr="00DF7588" w:rsidRDefault="00315469" w:rsidP="00DF7588">
            <w:pPr>
              <w:spacing w:before="120" w:after="120"/>
              <w:jc w:val="center"/>
              <w:rPr>
                <w:rFonts w:asciiTheme="minorHAnsi" w:hAnsiTheme="minorHAnsi"/>
                <w:b/>
                <w:bCs/>
                <w:sz w:val="24"/>
                <w:szCs w:val="24"/>
              </w:rPr>
            </w:pPr>
            <w:r w:rsidRPr="00DF7588">
              <w:rPr>
                <w:rFonts w:asciiTheme="minorHAnsi" w:hAnsiTheme="minorHAnsi"/>
                <w:b/>
                <w:bCs/>
                <w:sz w:val="24"/>
                <w:szCs w:val="24"/>
              </w:rPr>
              <w:t>Consumer Optimism</w:t>
            </w:r>
          </w:p>
        </w:tc>
        <w:tc>
          <w:tcPr>
            <w:tcW w:w="270" w:type="dxa"/>
            <w:tcBorders>
              <w:top w:val="nil"/>
              <w:left w:val="single" w:sz="4" w:space="0" w:color="auto"/>
              <w:bottom w:val="nil"/>
              <w:right w:val="single" w:sz="4" w:space="0" w:color="auto"/>
            </w:tcBorders>
          </w:tcPr>
          <w:p w:rsidR="00315469" w:rsidRPr="00DF7588" w:rsidRDefault="00315469" w:rsidP="00DF7588">
            <w:pPr>
              <w:spacing w:before="120" w:after="120"/>
              <w:jc w:val="center"/>
              <w:rPr>
                <w:rFonts w:asciiTheme="minorHAnsi" w:hAnsiTheme="minorHAnsi"/>
                <w:b/>
                <w:bCs/>
                <w:sz w:val="24"/>
                <w:szCs w:val="24"/>
              </w:rPr>
            </w:pPr>
          </w:p>
        </w:tc>
        <w:tc>
          <w:tcPr>
            <w:tcW w:w="4320" w:type="dxa"/>
            <w:tcBorders>
              <w:top w:val="single" w:sz="4" w:space="0" w:color="auto"/>
              <w:left w:val="single" w:sz="4" w:space="0" w:color="auto"/>
              <w:bottom w:val="single" w:sz="4" w:space="0" w:color="auto"/>
              <w:right w:val="single" w:sz="4" w:space="0" w:color="auto"/>
            </w:tcBorders>
          </w:tcPr>
          <w:p w:rsidR="00315469" w:rsidRPr="00DF7588" w:rsidRDefault="00315469" w:rsidP="00DF7588">
            <w:pPr>
              <w:spacing w:before="120" w:after="120"/>
              <w:jc w:val="center"/>
              <w:rPr>
                <w:rFonts w:asciiTheme="minorHAnsi" w:hAnsiTheme="minorHAnsi"/>
                <w:b/>
                <w:bCs/>
                <w:sz w:val="24"/>
                <w:szCs w:val="24"/>
              </w:rPr>
            </w:pPr>
            <w:r w:rsidRPr="00DF7588">
              <w:rPr>
                <w:rFonts w:asciiTheme="minorHAnsi" w:hAnsiTheme="minorHAnsi"/>
                <w:b/>
                <w:bCs/>
                <w:sz w:val="24"/>
                <w:szCs w:val="24"/>
              </w:rPr>
              <w:t>Consumer Pessimism</w:t>
            </w:r>
          </w:p>
        </w:tc>
      </w:tr>
      <w:tr w:rsidR="00315469" w:rsidRPr="00A16353" w:rsidTr="00DF7588">
        <w:tc>
          <w:tcPr>
            <w:tcW w:w="4428" w:type="dxa"/>
            <w:tcBorders>
              <w:top w:val="single" w:sz="4" w:space="0" w:color="auto"/>
              <w:left w:val="single" w:sz="4" w:space="0" w:color="auto"/>
              <w:bottom w:val="nil"/>
              <w:right w:val="single" w:sz="4" w:space="0" w:color="auto"/>
            </w:tcBorders>
          </w:tcPr>
          <w:p w:rsidR="00315469" w:rsidRPr="00DF7588" w:rsidRDefault="00315469" w:rsidP="00DF7588">
            <w:pPr>
              <w:spacing w:before="120" w:after="240"/>
              <w:jc w:val="center"/>
              <w:rPr>
                <w:rFonts w:asciiTheme="minorHAnsi" w:hAnsiTheme="minorHAnsi"/>
                <w:b/>
                <w:bCs/>
                <w:sz w:val="22"/>
                <w:szCs w:val="22"/>
              </w:rPr>
            </w:pPr>
            <w:r w:rsidRPr="00DF7588">
              <w:rPr>
                <w:rFonts w:asciiTheme="minorHAnsi" w:hAnsiTheme="minorHAnsi"/>
                <w:b/>
                <w:bCs/>
                <w:sz w:val="22"/>
                <w:szCs w:val="22"/>
              </w:rPr>
              <w:t xml:space="preserve">Increased consumer confidence, </w:t>
            </w:r>
          </w:p>
          <w:p w:rsidR="00315469" w:rsidRPr="00DF7588" w:rsidRDefault="00315469" w:rsidP="00DF7588">
            <w:pPr>
              <w:spacing w:before="120" w:after="240"/>
              <w:jc w:val="center"/>
              <w:rPr>
                <w:rFonts w:asciiTheme="minorHAnsi" w:hAnsiTheme="minorHAnsi"/>
                <w:bCs/>
                <w:i/>
                <w:sz w:val="22"/>
                <w:szCs w:val="22"/>
              </w:rPr>
            </w:pPr>
            <w:r w:rsidRPr="00DF7588">
              <w:rPr>
                <w:rFonts w:asciiTheme="minorHAnsi" w:hAnsiTheme="minorHAnsi"/>
                <w:bCs/>
                <w:i/>
                <w:sz w:val="22"/>
                <w:szCs w:val="22"/>
              </w:rPr>
              <w:t>leads to …</w:t>
            </w:r>
          </w:p>
        </w:tc>
        <w:tc>
          <w:tcPr>
            <w:tcW w:w="270" w:type="dxa"/>
            <w:tcBorders>
              <w:top w:val="nil"/>
              <w:left w:val="single" w:sz="4" w:space="0" w:color="auto"/>
              <w:bottom w:val="nil"/>
              <w:right w:val="single" w:sz="4" w:space="0" w:color="auto"/>
            </w:tcBorders>
          </w:tcPr>
          <w:p w:rsidR="00315469" w:rsidRPr="00DF7588" w:rsidRDefault="00315469" w:rsidP="00DF7588">
            <w:pPr>
              <w:spacing w:before="120" w:after="240"/>
              <w:jc w:val="center"/>
              <w:rPr>
                <w:rFonts w:asciiTheme="minorHAnsi" w:hAnsiTheme="minorHAnsi"/>
                <w:bCs/>
                <w:sz w:val="22"/>
                <w:szCs w:val="22"/>
              </w:rPr>
            </w:pPr>
          </w:p>
        </w:tc>
        <w:tc>
          <w:tcPr>
            <w:tcW w:w="4320" w:type="dxa"/>
            <w:tcBorders>
              <w:top w:val="single" w:sz="4" w:space="0" w:color="auto"/>
              <w:left w:val="single" w:sz="4" w:space="0" w:color="auto"/>
              <w:bottom w:val="nil"/>
              <w:right w:val="single" w:sz="4" w:space="0" w:color="auto"/>
            </w:tcBorders>
          </w:tcPr>
          <w:p w:rsidR="00315469" w:rsidRPr="00DF7588" w:rsidRDefault="00315469" w:rsidP="00DF7588">
            <w:pPr>
              <w:spacing w:before="120" w:after="240"/>
              <w:jc w:val="center"/>
              <w:rPr>
                <w:rFonts w:asciiTheme="minorHAnsi" w:hAnsiTheme="minorHAnsi"/>
                <w:b/>
                <w:bCs/>
                <w:sz w:val="22"/>
                <w:szCs w:val="22"/>
              </w:rPr>
            </w:pPr>
            <w:r w:rsidRPr="00DF7588">
              <w:rPr>
                <w:rFonts w:asciiTheme="minorHAnsi" w:hAnsiTheme="minorHAnsi"/>
                <w:b/>
                <w:bCs/>
                <w:sz w:val="22"/>
                <w:szCs w:val="22"/>
              </w:rPr>
              <w:t xml:space="preserve">Decreased consumer confidence, </w:t>
            </w:r>
          </w:p>
          <w:p w:rsidR="00315469" w:rsidRPr="00DF7588" w:rsidRDefault="00315469" w:rsidP="00DF7588">
            <w:pPr>
              <w:spacing w:before="120" w:after="240"/>
              <w:jc w:val="center"/>
              <w:rPr>
                <w:rFonts w:asciiTheme="minorHAnsi" w:hAnsiTheme="minorHAnsi"/>
                <w:bCs/>
                <w:i/>
                <w:sz w:val="22"/>
                <w:szCs w:val="22"/>
              </w:rPr>
            </w:pPr>
            <w:r w:rsidRPr="00DF7588">
              <w:rPr>
                <w:rFonts w:asciiTheme="minorHAnsi" w:hAnsiTheme="minorHAnsi"/>
                <w:bCs/>
                <w:i/>
                <w:sz w:val="22"/>
                <w:szCs w:val="22"/>
              </w:rPr>
              <w:t>leads to …</w:t>
            </w:r>
          </w:p>
        </w:tc>
      </w:tr>
      <w:tr w:rsidR="00315469" w:rsidRPr="00A16353" w:rsidTr="00DF7588">
        <w:tc>
          <w:tcPr>
            <w:tcW w:w="4428" w:type="dxa"/>
            <w:tcBorders>
              <w:top w:val="nil"/>
              <w:left w:val="single" w:sz="4" w:space="0" w:color="auto"/>
              <w:bottom w:val="nil"/>
              <w:right w:val="single" w:sz="4" w:space="0" w:color="auto"/>
            </w:tcBorders>
          </w:tcPr>
          <w:p w:rsidR="00315469" w:rsidRPr="00DF7588" w:rsidRDefault="00315469" w:rsidP="00DF7588">
            <w:pPr>
              <w:spacing w:after="240"/>
              <w:jc w:val="center"/>
              <w:rPr>
                <w:rFonts w:asciiTheme="minorHAnsi" w:hAnsiTheme="minorHAnsi"/>
                <w:b/>
                <w:bCs/>
                <w:sz w:val="22"/>
                <w:szCs w:val="22"/>
              </w:rPr>
            </w:pPr>
            <w:r w:rsidRPr="00DF7588">
              <w:rPr>
                <w:rFonts w:asciiTheme="minorHAnsi" w:hAnsiTheme="minorHAnsi"/>
                <w:b/>
                <w:bCs/>
                <w:sz w:val="22"/>
                <w:szCs w:val="22"/>
              </w:rPr>
              <w:t xml:space="preserve">Increased consumer spending, </w:t>
            </w:r>
          </w:p>
          <w:p w:rsidR="00315469" w:rsidRPr="00DF7588" w:rsidRDefault="00315469" w:rsidP="00DF7588">
            <w:pPr>
              <w:spacing w:after="240"/>
              <w:jc w:val="center"/>
              <w:rPr>
                <w:rFonts w:asciiTheme="minorHAnsi" w:hAnsiTheme="minorHAnsi"/>
                <w:bCs/>
                <w:i/>
                <w:sz w:val="22"/>
                <w:szCs w:val="22"/>
              </w:rPr>
            </w:pPr>
            <w:r w:rsidRPr="00DF7588">
              <w:rPr>
                <w:rFonts w:asciiTheme="minorHAnsi" w:hAnsiTheme="minorHAnsi"/>
                <w:bCs/>
                <w:i/>
                <w:sz w:val="22"/>
                <w:szCs w:val="22"/>
              </w:rPr>
              <w:t>which leads to …</w:t>
            </w:r>
          </w:p>
        </w:tc>
        <w:tc>
          <w:tcPr>
            <w:tcW w:w="270" w:type="dxa"/>
            <w:tcBorders>
              <w:top w:val="nil"/>
              <w:left w:val="single" w:sz="4" w:space="0" w:color="auto"/>
              <w:bottom w:val="nil"/>
              <w:right w:val="single" w:sz="4" w:space="0" w:color="auto"/>
            </w:tcBorders>
          </w:tcPr>
          <w:p w:rsidR="00315469" w:rsidRPr="00DF7588" w:rsidRDefault="00315469" w:rsidP="00DF7588">
            <w:pPr>
              <w:spacing w:after="240"/>
              <w:jc w:val="center"/>
              <w:rPr>
                <w:rFonts w:asciiTheme="minorHAnsi" w:hAnsiTheme="minorHAnsi"/>
                <w:bCs/>
                <w:sz w:val="22"/>
                <w:szCs w:val="22"/>
              </w:rPr>
            </w:pPr>
          </w:p>
        </w:tc>
        <w:tc>
          <w:tcPr>
            <w:tcW w:w="4320" w:type="dxa"/>
            <w:tcBorders>
              <w:top w:val="nil"/>
              <w:left w:val="single" w:sz="4" w:space="0" w:color="auto"/>
              <w:bottom w:val="nil"/>
              <w:right w:val="single" w:sz="4" w:space="0" w:color="auto"/>
            </w:tcBorders>
          </w:tcPr>
          <w:p w:rsidR="00315469" w:rsidRPr="00DF7588" w:rsidRDefault="00315469" w:rsidP="00DF7588">
            <w:pPr>
              <w:spacing w:after="240"/>
              <w:jc w:val="center"/>
              <w:rPr>
                <w:rFonts w:asciiTheme="minorHAnsi" w:hAnsiTheme="minorHAnsi"/>
                <w:b/>
                <w:bCs/>
                <w:sz w:val="22"/>
                <w:szCs w:val="22"/>
              </w:rPr>
            </w:pPr>
            <w:r w:rsidRPr="00DF7588">
              <w:rPr>
                <w:rFonts w:asciiTheme="minorHAnsi" w:hAnsiTheme="minorHAnsi"/>
                <w:b/>
                <w:bCs/>
                <w:sz w:val="22"/>
                <w:szCs w:val="22"/>
              </w:rPr>
              <w:t xml:space="preserve">Decreased consumer spending, </w:t>
            </w:r>
          </w:p>
          <w:p w:rsidR="00315469" w:rsidRPr="00DF7588" w:rsidRDefault="00315469" w:rsidP="00DF7588">
            <w:pPr>
              <w:spacing w:after="240"/>
              <w:jc w:val="center"/>
              <w:rPr>
                <w:rFonts w:asciiTheme="minorHAnsi" w:hAnsiTheme="minorHAnsi"/>
                <w:bCs/>
                <w:i/>
                <w:sz w:val="22"/>
                <w:szCs w:val="22"/>
              </w:rPr>
            </w:pPr>
            <w:r w:rsidRPr="00DF7588">
              <w:rPr>
                <w:rFonts w:asciiTheme="minorHAnsi" w:hAnsiTheme="minorHAnsi"/>
                <w:bCs/>
                <w:i/>
                <w:sz w:val="22"/>
                <w:szCs w:val="22"/>
              </w:rPr>
              <w:t>which leads to …</w:t>
            </w:r>
          </w:p>
        </w:tc>
      </w:tr>
      <w:tr w:rsidR="00315469" w:rsidRPr="00A16353" w:rsidTr="00DF7588">
        <w:tc>
          <w:tcPr>
            <w:tcW w:w="4428" w:type="dxa"/>
            <w:tcBorders>
              <w:top w:val="nil"/>
              <w:left w:val="single" w:sz="4" w:space="0" w:color="auto"/>
              <w:bottom w:val="nil"/>
              <w:right w:val="single" w:sz="4" w:space="0" w:color="auto"/>
            </w:tcBorders>
          </w:tcPr>
          <w:p w:rsidR="00315469" w:rsidRPr="00DF7588" w:rsidRDefault="00315469" w:rsidP="00DF7588">
            <w:pPr>
              <w:spacing w:after="240"/>
              <w:jc w:val="center"/>
              <w:rPr>
                <w:rFonts w:asciiTheme="minorHAnsi" w:hAnsiTheme="minorHAnsi"/>
                <w:b/>
                <w:bCs/>
                <w:sz w:val="22"/>
                <w:szCs w:val="22"/>
              </w:rPr>
            </w:pPr>
            <w:r w:rsidRPr="00DF7588">
              <w:rPr>
                <w:rFonts w:asciiTheme="minorHAnsi" w:hAnsiTheme="minorHAnsi"/>
                <w:b/>
                <w:bCs/>
                <w:sz w:val="22"/>
                <w:szCs w:val="22"/>
              </w:rPr>
              <w:t xml:space="preserve">Retailers hire more employees and purchase more inventory from suppliers, </w:t>
            </w:r>
          </w:p>
          <w:p w:rsidR="00315469" w:rsidRPr="00DF7588" w:rsidRDefault="00315469" w:rsidP="00DF7588">
            <w:pPr>
              <w:spacing w:after="240"/>
              <w:jc w:val="center"/>
              <w:rPr>
                <w:rFonts w:asciiTheme="minorHAnsi" w:hAnsiTheme="minorHAnsi"/>
                <w:bCs/>
                <w:sz w:val="22"/>
                <w:szCs w:val="22"/>
              </w:rPr>
            </w:pPr>
            <w:r w:rsidRPr="00DF7588">
              <w:rPr>
                <w:rFonts w:asciiTheme="minorHAnsi" w:hAnsiTheme="minorHAnsi"/>
                <w:bCs/>
                <w:i/>
                <w:sz w:val="22"/>
                <w:szCs w:val="22"/>
              </w:rPr>
              <w:t>which leads to …</w:t>
            </w:r>
          </w:p>
        </w:tc>
        <w:tc>
          <w:tcPr>
            <w:tcW w:w="270" w:type="dxa"/>
            <w:tcBorders>
              <w:top w:val="nil"/>
              <w:left w:val="single" w:sz="4" w:space="0" w:color="auto"/>
              <w:bottom w:val="nil"/>
              <w:right w:val="single" w:sz="4" w:space="0" w:color="auto"/>
            </w:tcBorders>
          </w:tcPr>
          <w:p w:rsidR="00315469" w:rsidRPr="00DF7588" w:rsidRDefault="00315469" w:rsidP="00DF7588">
            <w:pPr>
              <w:spacing w:after="240"/>
              <w:jc w:val="center"/>
              <w:rPr>
                <w:rFonts w:asciiTheme="minorHAnsi" w:hAnsiTheme="minorHAnsi"/>
                <w:bCs/>
                <w:sz w:val="22"/>
                <w:szCs w:val="22"/>
              </w:rPr>
            </w:pPr>
          </w:p>
        </w:tc>
        <w:tc>
          <w:tcPr>
            <w:tcW w:w="4320" w:type="dxa"/>
            <w:tcBorders>
              <w:top w:val="nil"/>
              <w:left w:val="single" w:sz="4" w:space="0" w:color="auto"/>
              <w:bottom w:val="nil"/>
              <w:right w:val="single" w:sz="4" w:space="0" w:color="auto"/>
            </w:tcBorders>
          </w:tcPr>
          <w:p w:rsidR="00182CC7" w:rsidRPr="00DF7588" w:rsidRDefault="00315469" w:rsidP="00DF7588">
            <w:pPr>
              <w:spacing w:after="240"/>
              <w:jc w:val="center"/>
              <w:rPr>
                <w:rFonts w:asciiTheme="minorHAnsi" w:hAnsiTheme="minorHAnsi"/>
                <w:b/>
                <w:bCs/>
                <w:sz w:val="22"/>
                <w:szCs w:val="22"/>
              </w:rPr>
            </w:pPr>
            <w:r w:rsidRPr="00DF7588">
              <w:rPr>
                <w:rFonts w:asciiTheme="minorHAnsi" w:hAnsiTheme="minorHAnsi"/>
                <w:b/>
                <w:bCs/>
                <w:sz w:val="22"/>
                <w:szCs w:val="22"/>
              </w:rPr>
              <w:t xml:space="preserve">Retailers hire fewer employees and purchase less inventory from suppliers, </w:t>
            </w:r>
          </w:p>
          <w:p w:rsidR="00315469" w:rsidRPr="00DF7588" w:rsidRDefault="00315469" w:rsidP="00DF7588">
            <w:pPr>
              <w:spacing w:after="240"/>
              <w:jc w:val="center"/>
              <w:rPr>
                <w:rFonts w:asciiTheme="minorHAnsi" w:hAnsiTheme="minorHAnsi"/>
                <w:bCs/>
                <w:sz w:val="22"/>
                <w:szCs w:val="22"/>
              </w:rPr>
            </w:pPr>
            <w:r w:rsidRPr="00DF7588">
              <w:rPr>
                <w:rFonts w:asciiTheme="minorHAnsi" w:hAnsiTheme="minorHAnsi"/>
                <w:bCs/>
                <w:i/>
                <w:sz w:val="22"/>
                <w:szCs w:val="22"/>
              </w:rPr>
              <w:t>which leads to …</w:t>
            </w:r>
          </w:p>
        </w:tc>
      </w:tr>
      <w:tr w:rsidR="00315469" w:rsidRPr="00A16353" w:rsidTr="00DF7588">
        <w:tc>
          <w:tcPr>
            <w:tcW w:w="4428" w:type="dxa"/>
            <w:tcBorders>
              <w:top w:val="nil"/>
              <w:left w:val="single" w:sz="4" w:space="0" w:color="auto"/>
              <w:bottom w:val="nil"/>
              <w:right w:val="single" w:sz="4" w:space="0" w:color="auto"/>
            </w:tcBorders>
          </w:tcPr>
          <w:p w:rsidR="00182CC7" w:rsidRPr="00DF7588" w:rsidRDefault="00315469" w:rsidP="00DF7588">
            <w:pPr>
              <w:spacing w:after="240"/>
              <w:jc w:val="center"/>
              <w:rPr>
                <w:rFonts w:asciiTheme="minorHAnsi" w:hAnsiTheme="minorHAnsi"/>
                <w:b/>
                <w:bCs/>
                <w:sz w:val="22"/>
                <w:szCs w:val="22"/>
              </w:rPr>
            </w:pPr>
            <w:r w:rsidRPr="00DF7588">
              <w:rPr>
                <w:rFonts w:asciiTheme="minorHAnsi" w:hAnsiTheme="minorHAnsi"/>
                <w:b/>
                <w:bCs/>
                <w:sz w:val="22"/>
                <w:szCs w:val="22"/>
              </w:rPr>
              <w:t xml:space="preserve">Suppliers (manufacturers) must make more products, </w:t>
            </w:r>
          </w:p>
          <w:p w:rsidR="00315469" w:rsidRPr="00DF7588" w:rsidRDefault="00315469" w:rsidP="00DF7588">
            <w:pPr>
              <w:spacing w:after="240"/>
              <w:jc w:val="center"/>
              <w:rPr>
                <w:rFonts w:asciiTheme="minorHAnsi" w:hAnsiTheme="minorHAnsi"/>
                <w:bCs/>
                <w:sz w:val="22"/>
                <w:szCs w:val="22"/>
              </w:rPr>
            </w:pPr>
            <w:r w:rsidRPr="00DF7588">
              <w:rPr>
                <w:rFonts w:asciiTheme="minorHAnsi" w:hAnsiTheme="minorHAnsi"/>
                <w:bCs/>
                <w:i/>
                <w:sz w:val="22"/>
                <w:szCs w:val="22"/>
              </w:rPr>
              <w:t>which leads to …</w:t>
            </w:r>
          </w:p>
        </w:tc>
        <w:tc>
          <w:tcPr>
            <w:tcW w:w="270" w:type="dxa"/>
            <w:tcBorders>
              <w:top w:val="nil"/>
              <w:left w:val="single" w:sz="4" w:space="0" w:color="auto"/>
              <w:bottom w:val="nil"/>
              <w:right w:val="single" w:sz="4" w:space="0" w:color="auto"/>
            </w:tcBorders>
          </w:tcPr>
          <w:p w:rsidR="00315469" w:rsidRPr="00DF7588" w:rsidRDefault="00315469" w:rsidP="00DF7588">
            <w:pPr>
              <w:spacing w:after="240"/>
              <w:jc w:val="center"/>
              <w:rPr>
                <w:rFonts w:asciiTheme="minorHAnsi" w:hAnsiTheme="minorHAnsi"/>
                <w:bCs/>
                <w:sz w:val="22"/>
                <w:szCs w:val="22"/>
              </w:rPr>
            </w:pPr>
          </w:p>
        </w:tc>
        <w:tc>
          <w:tcPr>
            <w:tcW w:w="4320" w:type="dxa"/>
            <w:tcBorders>
              <w:top w:val="nil"/>
              <w:left w:val="single" w:sz="4" w:space="0" w:color="auto"/>
              <w:bottom w:val="nil"/>
              <w:right w:val="single" w:sz="4" w:space="0" w:color="auto"/>
            </w:tcBorders>
          </w:tcPr>
          <w:p w:rsidR="00182CC7" w:rsidRPr="00DF7588" w:rsidRDefault="00315469" w:rsidP="00DF7588">
            <w:pPr>
              <w:spacing w:after="240"/>
              <w:jc w:val="center"/>
              <w:rPr>
                <w:rFonts w:asciiTheme="minorHAnsi" w:hAnsiTheme="minorHAnsi"/>
                <w:b/>
                <w:bCs/>
                <w:sz w:val="22"/>
                <w:szCs w:val="22"/>
              </w:rPr>
            </w:pPr>
            <w:r w:rsidRPr="00DF7588">
              <w:rPr>
                <w:rFonts w:asciiTheme="minorHAnsi" w:hAnsiTheme="minorHAnsi"/>
                <w:b/>
                <w:bCs/>
                <w:sz w:val="22"/>
                <w:szCs w:val="22"/>
              </w:rPr>
              <w:t xml:space="preserve">Suppliers (manufacturers) must make fewer products, </w:t>
            </w:r>
          </w:p>
          <w:p w:rsidR="00315469" w:rsidRPr="00DF7588" w:rsidRDefault="00315469" w:rsidP="00DF7588">
            <w:pPr>
              <w:spacing w:after="240"/>
              <w:jc w:val="center"/>
              <w:rPr>
                <w:rFonts w:asciiTheme="minorHAnsi" w:hAnsiTheme="minorHAnsi"/>
                <w:bCs/>
                <w:sz w:val="22"/>
                <w:szCs w:val="22"/>
              </w:rPr>
            </w:pPr>
            <w:r w:rsidRPr="00DF7588">
              <w:rPr>
                <w:rFonts w:asciiTheme="minorHAnsi" w:hAnsiTheme="minorHAnsi"/>
                <w:bCs/>
                <w:i/>
                <w:sz w:val="22"/>
                <w:szCs w:val="22"/>
              </w:rPr>
              <w:t>which leads to …</w:t>
            </w:r>
          </w:p>
        </w:tc>
      </w:tr>
      <w:tr w:rsidR="00315469" w:rsidRPr="00A16353" w:rsidTr="00DF7588">
        <w:tc>
          <w:tcPr>
            <w:tcW w:w="4428" w:type="dxa"/>
            <w:tcBorders>
              <w:top w:val="nil"/>
              <w:left w:val="single" w:sz="4" w:space="0" w:color="auto"/>
              <w:bottom w:val="nil"/>
              <w:right w:val="single" w:sz="4" w:space="0" w:color="auto"/>
            </w:tcBorders>
          </w:tcPr>
          <w:p w:rsidR="00182CC7" w:rsidRPr="00DF7588" w:rsidRDefault="00315469" w:rsidP="00DF7588">
            <w:pPr>
              <w:spacing w:after="240"/>
              <w:jc w:val="center"/>
              <w:rPr>
                <w:rFonts w:asciiTheme="minorHAnsi" w:hAnsiTheme="minorHAnsi"/>
                <w:b/>
                <w:bCs/>
                <w:sz w:val="22"/>
                <w:szCs w:val="22"/>
              </w:rPr>
            </w:pPr>
            <w:r w:rsidRPr="00DF7588">
              <w:rPr>
                <w:rFonts w:asciiTheme="minorHAnsi" w:hAnsiTheme="minorHAnsi"/>
                <w:b/>
                <w:bCs/>
                <w:sz w:val="22"/>
                <w:szCs w:val="22"/>
              </w:rPr>
              <w:t xml:space="preserve">Suppliers (manufacturers) hire more employees, </w:t>
            </w:r>
          </w:p>
          <w:p w:rsidR="00315469" w:rsidRPr="00DF7588" w:rsidRDefault="00315469" w:rsidP="00DF7588">
            <w:pPr>
              <w:spacing w:after="240"/>
              <w:jc w:val="center"/>
              <w:rPr>
                <w:rFonts w:asciiTheme="minorHAnsi" w:hAnsiTheme="minorHAnsi"/>
                <w:bCs/>
                <w:sz w:val="22"/>
                <w:szCs w:val="22"/>
              </w:rPr>
            </w:pPr>
            <w:r w:rsidRPr="00DF7588">
              <w:rPr>
                <w:rFonts w:asciiTheme="minorHAnsi" w:hAnsiTheme="minorHAnsi"/>
                <w:bCs/>
                <w:i/>
                <w:sz w:val="22"/>
                <w:szCs w:val="22"/>
              </w:rPr>
              <w:t>which leads to …</w:t>
            </w:r>
          </w:p>
        </w:tc>
        <w:tc>
          <w:tcPr>
            <w:tcW w:w="270" w:type="dxa"/>
            <w:tcBorders>
              <w:top w:val="nil"/>
              <w:left w:val="single" w:sz="4" w:space="0" w:color="auto"/>
              <w:bottom w:val="nil"/>
              <w:right w:val="single" w:sz="4" w:space="0" w:color="auto"/>
            </w:tcBorders>
          </w:tcPr>
          <w:p w:rsidR="00315469" w:rsidRPr="00DF7588" w:rsidRDefault="00315469" w:rsidP="00DF7588">
            <w:pPr>
              <w:spacing w:after="240"/>
              <w:jc w:val="center"/>
              <w:rPr>
                <w:rFonts w:asciiTheme="minorHAnsi" w:hAnsiTheme="minorHAnsi"/>
                <w:bCs/>
                <w:sz w:val="22"/>
                <w:szCs w:val="22"/>
              </w:rPr>
            </w:pPr>
          </w:p>
        </w:tc>
        <w:tc>
          <w:tcPr>
            <w:tcW w:w="4320" w:type="dxa"/>
            <w:tcBorders>
              <w:top w:val="nil"/>
              <w:left w:val="single" w:sz="4" w:space="0" w:color="auto"/>
              <w:bottom w:val="nil"/>
              <w:right w:val="single" w:sz="4" w:space="0" w:color="auto"/>
            </w:tcBorders>
          </w:tcPr>
          <w:p w:rsidR="00182CC7" w:rsidRPr="00DF7588" w:rsidRDefault="00315469" w:rsidP="00DF7588">
            <w:pPr>
              <w:spacing w:after="240"/>
              <w:jc w:val="center"/>
              <w:rPr>
                <w:rFonts w:asciiTheme="minorHAnsi" w:hAnsiTheme="minorHAnsi"/>
                <w:b/>
                <w:bCs/>
                <w:sz w:val="22"/>
                <w:szCs w:val="22"/>
              </w:rPr>
            </w:pPr>
            <w:r w:rsidRPr="00DF7588">
              <w:rPr>
                <w:rFonts w:asciiTheme="minorHAnsi" w:hAnsiTheme="minorHAnsi"/>
                <w:b/>
                <w:bCs/>
                <w:sz w:val="22"/>
                <w:szCs w:val="22"/>
              </w:rPr>
              <w:t xml:space="preserve">Suppliers (manufacturers) hire fewer employees, </w:t>
            </w:r>
          </w:p>
          <w:p w:rsidR="00315469" w:rsidRPr="00DF7588" w:rsidRDefault="00315469" w:rsidP="00DF7588">
            <w:pPr>
              <w:spacing w:after="240"/>
              <w:jc w:val="center"/>
              <w:rPr>
                <w:rFonts w:asciiTheme="minorHAnsi" w:hAnsiTheme="minorHAnsi"/>
                <w:bCs/>
                <w:sz w:val="22"/>
                <w:szCs w:val="22"/>
              </w:rPr>
            </w:pPr>
            <w:r w:rsidRPr="00DF7588">
              <w:rPr>
                <w:rFonts w:asciiTheme="minorHAnsi" w:hAnsiTheme="minorHAnsi"/>
                <w:bCs/>
                <w:i/>
                <w:sz w:val="22"/>
                <w:szCs w:val="22"/>
              </w:rPr>
              <w:t>which leads to …</w:t>
            </w:r>
          </w:p>
        </w:tc>
      </w:tr>
      <w:tr w:rsidR="00315469" w:rsidRPr="00A16353" w:rsidTr="00DF7588">
        <w:tc>
          <w:tcPr>
            <w:tcW w:w="4428" w:type="dxa"/>
            <w:tcBorders>
              <w:top w:val="nil"/>
              <w:left w:val="single" w:sz="4" w:space="0" w:color="auto"/>
              <w:bottom w:val="nil"/>
              <w:right w:val="single" w:sz="4" w:space="0" w:color="auto"/>
            </w:tcBorders>
          </w:tcPr>
          <w:p w:rsidR="00182CC7" w:rsidRPr="00DF7588" w:rsidRDefault="00315469" w:rsidP="00DF7588">
            <w:pPr>
              <w:spacing w:after="240"/>
              <w:jc w:val="center"/>
              <w:rPr>
                <w:rFonts w:asciiTheme="minorHAnsi" w:hAnsiTheme="minorHAnsi"/>
                <w:b/>
                <w:bCs/>
                <w:sz w:val="22"/>
                <w:szCs w:val="22"/>
              </w:rPr>
            </w:pPr>
            <w:r w:rsidRPr="00DF7588">
              <w:rPr>
                <w:rFonts w:asciiTheme="minorHAnsi" w:hAnsiTheme="minorHAnsi"/>
                <w:b/>
                <w:bCs/>
                <w:sz w:val="22"/>
                <w:szCs w:val="22"/>
              </w:rPr>
              <w:t xml:space="preserve">More retail and manufacturing employees, </w:t>
            </w:r>
          </w:p>
          <w:p w:rsidR="00315469" w:rsidRPr="00DF7588" w:rsidRDefault="00315469" w:rsidP="00DF7588">
            <w:pPr>
              <w:spacing w:after="240"/>
              <w:jc w:val="center"/>
              <w:rPr>
                <w:rFonts w:asciiTheme="minorHAnsi" w:hAnsiTheme="minorHAnsi"/>
                <w:bCs/>
                <w:sz w:val="22"/>
                <w:szCs w:val="22"/>
              </w:rPr>
            </w:pPr>
            <w:r w:rsidRPr="00DF7588">
              <w:rPr>
                <w:rFonts w:asciiTheme="minorHAnsi" w:hAnsiTheme="minorHAnsi"/>
                <w:bCs/>
                <w:i/>
                <w:sz w:val="22"/>
                <w:szCs w:val="22"/>
              </w:rPr>
              <w:t>which leads to …</w:t>
            </w:r>
          </w:p>
        </w:tc>
        <w:tc>
          <w:tcPr>
            <w:tcW w:w="270" w:type="dxa"/>
            <w:tcBorders>
              <w:top w:val="nil"/>
              <w:left w:val="single" w:sz="4" w:space="0" w:color="auto"/>
              <w:bottom w:val="nil"/>
              <w:right w:val="single" w:sz="4" w:space="0" w:color="auto"/>
            </w:tcBorders>
          </w:tcPr>
          <w:p w:rsidR="00315469" w:rsidRPr="00DF7588" w:rsidRDefault="00315469" w:rsidP="00DF7588">
            <w:pPr>
              <w:spacing w:after="240"/>
              <w:jc w:val="center"/>
              <w:rPr>
                <w:rFonts w:asciiTheme="minorHAnsi" w:hAnsiTheme="minorHAnsi"/>
                <w:bCs/>
                <w:sz w:val="22"/>
                <w:szCs w:val="22"/>
              </w:rPr>
            </w:pPr>
          </w:p>
        </w:tc>
        <w:tc>
          <w:tcPr>
            <w:tcW w:w="4320" w:type="dxa"/>
            <w:tcBorders>
              <w:top w:val="nil"/>
              <w:left w:val="single" w:sz="4" w:space="0" w:color="auto"/>
              <w:bottom w:val="nil"/>
              <w:right w:val="single" w:sz="4" w:space="0" w:color="auto"/>
            </w:tcBorders>
          </w:tcPr>
          <w:p w:rsidR="00182CC7" w:rsidRPr="00DF7588" w:rsidRDefault="00315469" w:rsidP="00DF7588">
            <w:pPr>
              <w:spacing w:after="240"/>
              <w:jc w:val="center"/>
              <w:rPr>
                <w:rFonts w:asciiTheme="minorHAnsi" w:hAnsiTheme="minorHAnsi"/>
                <w:b/>
                <w:bCs/>
                <w:sz w:val="22"/>
                <w:szCs w:val="22"/>
              </w:rPr>
            </w:pPr>
            <w:r w:rsidRPr="00DF7588">
              <w:rPr>
                <w:rFonts w:asciiTheme="minorHAnsi" w:hAnsiTheme="minorHAnsi"/>
                <w:b/>
                <w:bCs/>
                <w:sz w:val="22"/>
                <w:szCs w:val="22"/>
              </w:rPr>
              <w:t xml:space="preserve">Fewer retail and manufacturing employees, </w:t>
            </w:r>
          </w:p>
          <w:p w:rsidR="00315469" w:rsidRPr="00DF7588" w:rsidRDefault="00315469" w:rsidP="00DF7588">
            <w:pPr>
              <w:spacing w:after="240"/>
              <w:jc w:val="center"/>
              <w:rPr>
                <w:rFonts w:asciiTheme="minorHAnsi" w:hAnsiTheme="minorHAnsi"/>
                <w:bCs/>
                <w:sz w:val="22"/>
                <w:szCs w:val="22"/>
              </w:rPr>
            </w:pPr>
            <w:r w:rsidRPr="00DF7588">
              <w:rPr>
                <w:rFonts w:asciiTheme="minorHAnsi" w:hAnsiTheme="minorHAnsi"/>
                <w:bCs/>
                <w:i/>
                <w:sz w:val="22"/>
                <w:szCs w:val="22"/>
              </w:rPr>
              <w:t>which leads to …</w:t>
            </w:r>
          </w:p>
        </w:tc>
      </w:tr>
      <w:tr w:rsidR="00315469" w:rsidRPr="00A16353" w:rsidTr="00DF7588">
        <w:tc>
          <w:tcPr>
            <w:tcW w:w="4428" w:type="dxa"/>
            <w:tcBorders>
              <w:top w:val="nil"/>
              <w:left w:val="single" w:sz="4" w:space="0" w:color="auto"/>
              <w:bottom w:val="nil"/>
              <w:right w:val="single" w:sz="4" w:space="0" w:color="auto"/>
            </w:tcBorders>
          </w:tcPr>
          <w:p w:rsidR="00182CC7" w:rsidRPr="00DF7588" w:rsidRDefault="00315469" w:rsidP="00DF7588">
            <w:pPr>
              <w:spacing w:after="240"/>
              <w:jc w:val="center"/>
              <w:rPr>
                <w:rFonts w:asciiTheme="minorHAnsi" w:hAnsiTheme="minorHAnsi"/>
                <w:b/>
                <w:bCs/>
                <w:sz w:val="22"/>
                <w:szCs w:val="22"/>
              </w:rPr>
            </w:pPr>
            <w:r w:rsidRPr="00DF7588">
              <w:rPr>
                <w:rFonts w:asciiTheme="minorHAnsi" w:hAnsiTheme="minorHAnsi"/>
                <w:b/>
                <w:bCs/>
                <w:sz w:val="22"/>
                <w:szCs w:val="22"/>
              </w:rPr>
              <w:t xml:space="preserve">More consumers with pay checks who are able to spend, </w:t>
            </w:r>
          </w:p>
          <w:p w:rsidR="00315469" w:rsidRPr="00DF7588" w:rsidRDefault="00315469" w:rsidP="00DF7588">
            <w:pPr>
              <w:spacing w:after="240"/>
              <w:jc w:val="center"/>
              <w:rPr>
                <w:rFonts w:asciiTheme="minorHAnsi" w:hAnsiTheme="minorHAnsi"/>
                <w:bCs/>
                <w:sz w:val="22"/>
                <w:szCs w:val="22"/>
              </w:rPr>
            </w:pPr>
            <w:r w:rsidRPr="00DF7588">
              <w:rPr>
                <w:rFonts w:asciiTheme="minorHAnsi" w:hAnsiTheme="minorHAnsi"/>
                <w:bCs/>
                <w:i/>
                <w:sz w:val="22"/>
                <w:szCs w:val="22"/>
              </w:rPr>
              <w:t>which leads to …</w:t>
            </w:r>
          </w:p>
        </w:tc>
        <w:tc>
          <w:tcPr>
            <w:tcW w:w="270" w:type="dxa"/>
            <w:tcBorders>
              <w:top w:val="nil"/>
              <w:left w:val="single" w:sz="4" w:space="0" w:color="auto"/>
              <w:bottom w:val="nil"/>
              <w:right w:val="single" w:sz="4" w:space="0" w:color="auto"/>
            </w:tcBorders>
          </w:tcPr>
          <w:p w:rsidR="00315469" w:rsidRPr="00DF7588" w:rsidRDefault="00315469" w:rsidP="00DF7588">
            <w:pPr>
              <w:spacing w:after="240"/>
              <w:jc w:val="center"/>
              <w:rPr>
                <w:rFonts w:asciiTheme="minorHAnsi" w:hAnsiTheme="minorHAnsi"/>
                <w:bCs/>
                <w:sz w:val="22"/>
                <w:szCs w:val="22"/>
              </w:rPr>
            </w:pPr>
          </w:p>
        </w:tc>
        <w:tc>
          <w:tcPr>
            <w:tcW w:w="4320" w:type="dxa"/>
            <w:tcBorders>
              <w:top w:val="nil"/>
              <w:left w:val="single" w:sz="4" w:space="0" w:color="auto"/>
              <w:bottom w:val="nil"/>
              <w:right w:val="single" w:sz="4" w:space="0" w:color="auto"/>
            </w:tcBorders>
          </w:tcPr>
          <w:p w:rsidR="00182CC7" w:rsidRPr="00DF7588" w:rsidRDefault="00315469" w:rsidP="00DF7588">
            <w:pPr>
              <w:spacing w:after="240"/>
              <w:jc w:val="center"/>
              <w:rPr>
                <w:rFonts w:asciiTheme="minorHAnsi" w:hAnsiTheme="minorHAnsi"/>
                <w:b/>
                <w:bCs/>
                <w:sz w:val="22"/>
                <w:szCs w:val="22"/>
              </w:rPr>
            </w:pPr>
            <w:r w:rsidRPr="00DF7588">
              <w:rPr>
                <w:rFonts w:asciiTheme="minorHAnsi" w:hAnsiTheme="minorHAnsi"/>
                <w:b/>
                <w:bCs/>
                <w:sz w:val="22"/>
                <w:szCs w:val="22"/>
              </w:rPr>
              <w:t xml:space="preserve">Fewer consumers with pay checks who are able to spend, </w:t>
            </w:r>
          </w:p>
          <w:p w:rsidR="00315469" w:rsidRPr="00DF7588" w:rsidRDefault="00315469" w:rsidP="00DF7588">
            <w:pPr>
              <w:spacing w:after="240"/>
              <w:jc w:val="center"/>
              <w:rPr>
                <w:rFonts w:asciiTheme="minorHAnsi" w:hAnsiTheme="minorHAnsi"/>
                <w:bCs/>
                <w:sz w:val="22"/>
                <w:szCs w:val="22"/>
              </w:rPr>
            </w:pPr>
            <w:r w:rsidRPr="00DF7588">
              <w:rPr>
                <w:rFonts w:asciiTheme="minorHAnsi" w:hAnsiTheme="minorHAnsi"/>
                <w:bCs/>
                <w:i/>
                <w:sz w:val="22"/>
                <w:szCs w:val="22"/>
              </w:rPr>
              <w:t>which leads to …</w:t>
            </w:r>
          </w:p>
        </w:tc>
      </w:tr>
      <w:tr w:rsidR="00315469" w:rsidRPr="00A16353" w:rsidTr="00DF7588">
        <w:tc>
          <w:tcPr>
            <w:tcW w:w="4428" w:type="dxa"/>
            <w:tcBorders>
              <w:top w:val="nil"/>
              <w:left w:val="single" w:sz="4" w:space="0" w:color="auto"/>
              <w:bottom w:val="nil"/>
              <w:right w:val="single" w:sz="4" w:space="0" w:color="auto"/>
            </w:tcBorders>
          </w:tcPr>
          <w:p w:rsidR="00315469" w:rsidRPr="00DF7588" w:rsidRDefault="00315469" w:rsidP="00DF7588">
            <w:pPr>
              <w:spacing w:after="240"/>
              <w:jc w:val="center"/>
              <w:rPr>
                <w:rFonts w:asciiTheme="minorHAnsi" w:hAnsiTheme="minorHAnsi"/>
                <w:b/>
                <w:bCs/>
                <w:sz w:val="22"/>
                <w:szCs w:val="22"/>
              </w:rPr>
            </w:pPr>
            <w:r w:rsidRPr="00DF7588">
              <w:rPr>
                <w:rFonts w:asciiTheme="minorHAnsi" w:hAnsiTheme="minorHAnsi"/>
                <w:b/>
                <w:bCs/>
                <w:sz w:val="22"/>
                <w:szCs w:val="22"/>
              </w:rPr>
              <w:t xml:space="preserve">Growing economy, </w:t>
            </w:r>
          </w:p>
          <w:p w:rsidR="00315469" w:rsidRPr="00DF7588" w:rsidRDefault="00315469" w:rsidP="00DF7588">
            <w:pPr>
              <w:spacing w:after="240"/>
              <w:jc w:val="center"/>
              <w:rPr>
                <w:rFonts w:asciiTheme="minorHAnsi" w:hAnsiTheme="minorHAnsi"/>
                <w:bCs/>
                <w:i/>
                <w:sz w:val="22"/>
                <w:szCs w:val="22"/>
              </w:rPr>
            </w:pPr>
            <w:r w:rsidRPr="00DF7588">
              <w:rPr>
                <w:rFonts w:asciiTheme="minorHAnsi" w:hAnsiTheme="minorHAnsi"/>
                <w:bCs/>
                <w:i/>
                <w:sz w:val="22"/>
                <w:szCs w:val="22"/>
              </w:rPr>
              <w:t>which leads to …</w:t>
            </w:r>
          </w:p>
        </w:tc>
        <w:tc>
          <w:tcPr>
            <w:tcW w:w="270" w:type="dxa"/>
            <w:tcBorders>
              <w:top w:val="nil"/>
              <w:left w:val="single" w:sz="4" w:space="0" w:color="auto"/>
              <w:bottom w:val="nil"/>
              <w:right w:val="single" w:sz="4" w:space="0" w:color="auto"/>
            </w:tcBorders>
          </w:tcPr>
          <w:p w:rsidR="00315469" w:rsidRPr="00DF7588" w:rsidRDefault="00315469" w:rsidP="00DF7588">
            <w:pPr>
              <w:spacing w:after="240"/>
              <w:jc w:val="center"/>
              <w:rPr>
                <w:rFonts w:asciiTheme="minorHAnsi" w:hAnsiTheme="minorHAnsi"/>
                <w:bCs/>
                <w:sz w:val="22"/>
                <w:szCs w:val="22"/>
              </w:rPr>
            </w:pPr>
          </w:p>
        </w:tc>
        <w:tc>
          <w:tcPr>
            <w:tcW w:w="4320" w:type="dxa"/>
            <w:tcBorders>
              <w:top w:val="nil"/>
              <w:left w:val="single" w:sz="4" w:space="0" w:color="auto"/>
              <w:bottom w:val="nil"/>
              <w:right w:val="single" w:sz="4" w:space="0" w:color="auto"/>
            </w:tcBorders>
          </w:tcPr>
          <w:p w:rsidR="00315469" w:rsidRPr="00DF7588" w:rsidRDefault="00315469" w:rsidP="00DF7588">
            <w:pPr>
              <w:spacing w:after="240"/>
              <w:jc w:val="center"/>
              <w:rPr>
                <w:rFonts w:asciiTheme="minorHAnsi" w:hAnsiTheme="minorHAnsi"/>
                <w:b/>
                <w:bCs/>
                <w:sz w:val="22"/>
                <w:szCs w:val="22"/>
              </w:rPr>
            </w:pPr>
            <w:r w:rsidRPr="00DF7588">
              <w:rPr>
                <w:rFonts w:asciiTheme="minorHAnsi" w:hAnsiTheme="minorHAnsi"/>
                <w:b/>
                <w:bCs/>
                <w:sz w:val="22"/>
                <w:szCs w:val="22"/>
              </w:rPr>
              <w:t xml:space="preserve">Slowing economy, </w:t>
            </w:r>
          </w:p>
          <w:p w:rsidR="00315469" w:rsidRPr="00DF7588" w:rsidRDefault="00315469" w:rsidP="00DF7588">
            <w:pPr>
              <w:spacing w:after="240"/>
              <w:jc w:val="center"/>
              <w:rPr>
                <w:rFonts w:asciiTheme="minorHAnsi" w:hAnsiTheme="minorHAnsi"/>
                <w:bCs/>
                <w:i/>
                <w:sz w:val="22"/>
                <w:szCs w:val="22"/>
              </w:rPr>
            </w:pPr>
            <w:r w:rsidRPr="00DF7588">
              <w:rPr>
                <w:rFonts w:asciiTheme="minorHAnsi" w:hAnsiTheme="minorHAnsi"/>
                <w:bCs/>
                <w:i/>
                <w:sz w:val="22"/>
                <w:szCs w:val="22"/>
              </w:rPr>
              <w:t>which leads to …</w:t>
            </w:r>
          </w:p>
        </w:tc>
      </w:tr>
      <w:tr w:rsidR="00315469" w:rsidRPr="00A16353" w:rsidTr="00DF7588">
        <w:tc>
          <w:tcPr>
            <w:tcW w:w="4428" w:type="dxa"/>
            <w:tcBorders>
              <w:top w:val="nil"/>
              <w:left w:val="single" w:sz="4" w:space="0" w:color="auto"/>
              <w:bottom w:val="single" w:sz="4" w:space="0" w:color="auto"/>
              <w:right w:val="single" w:sz="4" w:space="0" w:color="auto"/>
            </w:tcBorders>
          </w:tcPr>
          <w:p w:rsidR="00315469" w:rsidRPr="00DF7588" w:rsidRDefault="00315469" w:rsidP="00DF7588">
            <w:pPr>
              <w:spacing w:after="240"/>
              <w:jc w:val="center"/>
              <w:rPr>
                <w:rFonts w:asciiTheme="minorHAnsi" w:hAnsiTheme="minorHAnsi"/>
                <w:b/>
                <w:bCs/>
                <w:sz w:val="22"/>
                <w:szCs w:val="22"/>
              </w:rPr>
            </w:pPr>
            <w:r w:rsidRPr="00DF7588">
              <w:rPr>
                <w:rFonts w:asciiTheme="minorHAnsi" w:hAnsiTheme="minorHAnsi"/>
                <w:b/>
                <w:bCs/>
                <w:sz w:val="22"/>
                <w:szCs w:val="22"/>
              </w:rPr>
              <w:t xml:space="preserve">Increased consumer confidence, </w:t>
            </w:r>
          </w:p>
          <w:p w:rsidR="00315469" w:rsidRPr="00DF7588" w:rsidRDefault="00315469" w:rsidP="00DF7588">
            <w:pPr>
              <w:spacing w:after="240"/>
              <w:jc w:val="center"/>
              <w:rPr>
                <w:rFonts w:asciiTheme="minorHAnsi" w:hAnsiTheme="minorHAnsi"/>
                <w:bCs/>
                <w:i/>
                <w:sz w:val="22"/>
                <w:szCs w:val="22"/>
              </w:rPr>
            </w:pPr>
            <w:r w:rsidRPr="00DF7588">
              <w:rPr>
                <w:rFonts w:asciiTheme="minorHAnsi" w:hAnsiTheme="minorHAnsi"/>
                <w:bCs/>
                <w:i/>
                <w:sz w:val="22"/>
                <w:szCs w:val="22"/>
              </w:rPr>
              <w:t>which leads to …</w:t>
            </w:r>
          </w:p>
        </w:tc>
        <w:tc>
          <w:tcPr>
            <w:tcW w:w="270" w:type="dxa"/>
            <w:tcBorders>
              <w:top w:val="nil"/>
              <w:left w:val="single" w:sz="4" w:space="0" w:color="auto"/>
              <w:bottom w:val="nil"/>
              <w:right w:val="single" w:sz="4" w:space="0" w:color="auto"/>
            </w:tcBorders>
          </w:tcPr>
          <w:p w:rsidR="00315469" w:rsidRPr="00DF7588" w:rsidRDefault="00315469" w:rsidP="00DF7588">
            <w:pPr>
              <w:spacing w:after="240"/>
              <w:jc w:val="center"/>
              <w:rPr>
                <w:rFonts w:asciiTheme="minorHAnsi" w:hAnsiTheme="minorHAnsi"/>
                <w:bCs/>
                <w:sz w:val="22"/>
                <w:szCs w:val="22"/>
              </w:rPr>
            </w:pPr>
          </w:p>
        </w:tc>
        <w:tc>
          <w:tcPr>
            <w:tcW w:w="4320" w:type="dxa"/>
            <w:tcBorders>
              <w:top w:val="nil"/>
              <w:left w:val="single" w:sz="4" w:space="0" w:color="auto"/>
              <w:bottom w:val="single" w:sz="4" w:space="0" w:color="auto"/>
              <w:right w:val="single" w:sz="4" w:space="0" w:color="auto"/>
            </w:tcBorders>
          </w:tcPr>
          <w:p w:rsidR="00315469" w:rsidRPr="00DF7588" w:rsidRDefault="00315469" w:rsidP="00DF7588">
            <w:pPr>
              <w:spacing w:after="240"/>
              <w:jc w:val="center"/>
              <w:rPr>
                <w:rFonts w:asciiTheme="minorHAnsi" w:hAnsiTheme="minorHAnsi"/>
                <w:b/>
                <w:bCs/>
                <w:sz w:val="22"/>
                <w:szCs w:val="22"/>
              </w:rPr>
            </w:pPr>
            <w:r w:rsidRPr="00DF7588">
              <w:rPr>
                <w:rFonts w:asciiTheme="minorHAnsi" w:hAnsiTheme="minorHAnsi"/>
                <w:b/>
                <w:bCs/>
                <w:sz w:val="22"/>
                <w:szCs w:val="22"/>
              </w:rPr>
              <w:t xml:space="preserve">Decreased consumer confidence, </w:t>
            </w:r>
          </w:p>
          <w:p w:rsidR="00315469" w:rsidRPr="00DF7588" w:rsidRDefault="00315469" w:rsidP="00DF7588">
            <w:pPr>
              <w:spacing w:after="240"/>
              <w:jc w:val="center"/>
              <w:rPr>
                <w:rFonts w:asciiTheme="minorHAnsi" w:hAnsiTheme="minorHAnsi"/>
                <w:bCs/>
                <w:i/>
                <w:sz w:val="22"/>
                <w:szCs w:val="22"/>
              </w:rPr>
            </w:pPr>
            <w:r w:rsidRPr="00DF7588">
              <w:rPr>
                <w:rFonts w:asciiTheme="minorHAnsi" w:hAnsiTheme="minorHAnsi"/>
                <w:bCs/>
                <w:i/>
                <w:sz w:val="22"/>
                <w:szCs w:val="22"/>
              </w:rPr>
              <w:t>which leads to …</w:t>
            </w:r>
          </w:p>
        </w:tc>
      </w:tr>
    </w:tbl>
    <w:p w:rsidR="00315469" w:rsidRDefault="00315469" w:rsidP="00D75F8B">
      <w:pPr>
        <w:rPr>
          <w:bCs/>
          <w:sz w:val="24"/>
        </w:rPr>
      </w:pPr>
    </w:p>
    <w:p w:rsidR="00315469" w:rsidRDefault="00315469" w:rsidP="00D75F8B">
      <w:pPr>
        <w:rPr>
          <w:bCs/>
          <w:sz w:val="24"/>
        </w:rPr>
      </w:pPr>
    </w:p>
    <w:p w:rsidR="00315469" w:rsidRDefault="00315469" w:rsidP="00D75F8B">
      <w:pPr>
        <w:rPr>
          <w:bCs/>
          <w:sz w:val="24"/>
        </w:rPr>
      </w:pPr>
    </w:p>
    <w:p w:rsidR="00315469" w:rsidRDefault="00315469" w:rsidP="00D75F8B">
      <w:pPr>
        <w:rPr>
          <w:bCs/>
          <w:sz w:val="24"/>
        </w:rPr>
      </w:pPr>
    </w:p>
    <w:p w:rsidR="00105183" w:rsidRPr="00A16353" w:rsidRDefault="003C133F" w:rsidP="00105183">
      <w:pPr>
        <w:rPr>
          <w:rFonts w:asciiTheme="minorHAnsi" w:hAnsiTheme="minorHAnsi"/>
          <w:b/>
          <w:bCs/>
          <w:sz w:val="24"/>
          <w:u w:val="single"/>
        </w:rPr>
      </w:pPr>
      <w:r w:rsidRPr="00A16353">
        <w:rPr>
          <w:rFonts w:asciiTheme="minorHAnsi" w:hAnsiTheme="minorHAnsi"/>
          <w:bCs/>
          <w:sz w:val="24"/>
        </w:rPr>
        <w:t xml:space="preserve"> </w:t>
      </w:r>
      <w:r w:rsidR="00105183" w:rsidRPr="00A16353">
        <w:rPr>
          <w:rFonts w:asciiTheme="minorHAnsi" w:hAnsiTheme="minorHAnsi"/>
          <w:b/>
          <w:bCs/>
          <w:sz w:val="24"/>
          <w:u w:val="single"/>
        </w:rPr>
        <w:t>About the Survey</w:t>
      </w:r>
    </w:p>
    <w:p w:rsidR="00A25ED9" w:rsidRPr="00A16353" w:rsidRDefault="00A25ED9" w:rsidP="00105183">
      <w:pPr>
        <w:rPr>
          <w:rFonts w:asciiTheme="minorHAnsi" w:hAnsiTheme="minorHAnsi"/>
          <w:b/>
          <w:bCs/>
          <w:sz w:val="24"/>
          <w:u w:val="single"/>
        </w:rPr>
      </w:pPr>
    </w:p>
    <w:p w:rsidR="00105183" w:rsidRPr="00A16353" w:rsidRDefault="00105183" w:rsidP="009E29D4">
      <w:pPr>
        <w:jc w:val="both"/>
        <w:rPr>
          <w:rFonts w:asciiTheme="minorHAnsi" w:hAnsiTheme="minorHAnsi"/>
          <w:sz w:val="24"/>
        </w:rPr>
      </w:pPr>
      <w:r w:rsidRPr="00A16353">
        <w:rPr>
          <w:rFonts w:asciiTheme="minorHAnsi" w:hAnsiTheme="minorHAnsi"/>
          <w:sz w:val="24"/>
        </w:rPr>
        <w:t xml:space="preserve">     The results reported here are based on telephone interviews with</w:t>
      </w:r>
      <w:r w:rsidR="003E179E" w:rsidRPr="00A16353">
        <w:rPr>
          <w:rFonts w:asciiTheme="minorHAnsi" w:hAnsiTheme="minorHAnsi"/>
          <w:sz w:val="24"/>
        </w:rPr>
        <w:t xml:space="preserve"> </w:t>
      </w:r>
      <w:r w:rsidR="005326A4">
        <w:rPr>
          <w:rFonts w:asciiTheme="minorHAnsi" w:hAnsiTheme="minorHAnsi"/>
          <w:sz w:val="24"/>
        </w:rPr>
        <w:t xml:space="preserve">404 </w:t>
      </w:r>
      <w:r w:rsidRPr="00A16353">
        <w:rPr>
          <w:rFonts w:asciiTheme="minorHAnsi" w:hAnsiTheme="minorHAnsi"/>
          <w:sz w:val="24"/>
        </w:rPr>
        <w:t>randomly selected adult residents, 18 years and older, from Davidson</w:t>
      </w:r>
      <w:r w:rsidR="00B0737F">
        <w:rPr>
          <w:rFonts w:asciiTheme="minorHAnsi" w:hAnsiTheme="minorHAnsi"/>
          <w:sz w:val="24"/>
        </w:rPr>
        <w:t xml:space="preserve"> County</w:t>
      </w:r>
      <w:r w:rsidRPr="00A16353">
        <w:rPr>
          <w:rFonts w:asciiTheme="minorHAnsi" w:hAnsiTheme="minorHAnsi"/>
          <w:sz w:val="24"/>
        </w:rPr>
        <w:t>, Rutherford</w:t>
      </w:r>
      <w:r w:rsidR="00B0737F">
        <w:rPr>
          <w:rFonts w:asciiTheme="minorHAnsi" w:hAnsiTheme="minorHAnsi"/>
          <w:sz w:val="24"/>
        </w:rPr>
        <w:t xml:space="preserve"> County</w:t>
      </w:r>
      <w:r w:rsidRPr="00A16353">
        <w:rPr>
          <w:rFonts w:asciiTheme="minorHAnsi" w:hAnsiTheme="minorHAnsi"/>
          <w:sz w:val="24"/>
        </w:rPr>
        <w:t xml:space="preserve"> and Williamson </w:t>
      </w:r>
      <w:r w:rsidR="00562F60">
        <w:rPr>
          <w:rFonts w:asciiTheme="minorHAnsi" w:hAnsiTheme="minorHAnsi"/>
          <w:sz w:val="24"/>
        </w:rPr>
        <w:t>C</w:t>
      </w:r>
      <w:r w:rsidRPr="00A16353">
        <w:rPr>
          <w:rFonts w:asciiTheme="minorHAnsi" w:hAnsiTheme="minorHAnsi"/>
          <w:sz w:val="24"/>
        </w:rPr>
        <w:t>ount</w:t>
      </w:r>
      <w:r w:rsidR="00B0737F">
        <w:rPr>
          <w:rFonts w:asciiTheme="minorHAnsi" w:hAnsiTheme="minorHAnsi"/>
          <w:sz w:val="24"/>
        </w:rPr>
        <w:t>y</w:t>
      </w:r>
      <w:r w:rsidRPr="00A16353">
        <w:rPr>
          <w:rFonts w:asciiTheme="minorHAnsi" w:hAnsiTheme="minorHAnsi"/>
          <w:sz w:val="24"/>
        </w:rPr>
        <w:t xml:space="preserve">.  Phone interviews were conducted </w:t>
      </w:r>
      <w:r w:rsidR="009C4C27" w:rsidRPr="00A16353">
        <w:rPr>
          <w:rFonts w:asciiTheme="minorHAnsi" w:hAnsiTheme="minorHAnsi"/>
          <w:sz w:val="24"/>
        </w:rPr>
        <w:t xml:space="preserve">between </w:t>
      </w:r>
      <w:r w:rsidR="001F7ED1" w:rsidRPr="00A16353">
        <w:rPr>
          <w:rFonts w:asciiTheme="minorHAnsi" w:hAnsiTheme="minorHAnsi"/>
          <w:sz w:val="24"/>
        </w:rPr>
        <w:t>4:</w:t>
      </w:r>
      <w:r w:rsidR="00454711">
        <w:rPr>
          <w:rFonts w:asciiTheme="minorHAnsi" w:hAnsiTheme="minorHAnsi"/>
          <w:sz w:val="24"/>
        </w:rPr>
        <w:t>3</w:t>
      </w:r>
      <w:r w:rsidR="001F7ED1" w:rsidRPr="00A16353">
        <w:rPr>
          <w:rFonts w:asciiTheme="minorHAnsi" w:hAnsiTheme="minorHAnsi"/>
          <w:sz w:val="24"/>
        </w:rPr>
        <w:t>0 pm an</w:t>
      </w:r>
      <w:r w:rsidR="00E32844" w:rsidRPr="00A16353">
        <w:rPr>
          <w:rFonts w:asciiTheme="minorHAnsi" w:hAnsiTheme="minorHAnsi"/>
          <w:sz w:val="24"/>
        </w:rPr>
        <w:t xml:space="preserve">d </w:t>
      </w:r>
      <w:r w:rsidR="002974AD" w:rsidRPr="00A16353">
        <w:rPr>
          <w:rFonts w:asciiTheme="minorHAnsi" w:hAnsiTheme="minorHAnsi"/>
          <w:sz w:val="24"/>
        </w:rPr>
        <w:t>8:30</w:t>
      </w:r>
      <w:r w:rsidR="00E32844" w:rsidRPr="00A16353">
        <w:rPr>
          <w:rFonts w:asciiTheme="minorHAnsi" w:hAnsiTheme="minorHAnsi"/>
          <w:sz w:val="24"/>
        </w:rPr>
        <w:t xml:space="preserve"> </w:t>
      </w:r>
      <w:r w:rsidRPr="00A16353">
        <w:rPr>
          <w:rFonts w:asciiTheme="minorHAnsi" w:hAnsiTheme="minorHAnsi"/>
          <w:sz w:val="24"/>
        </w:rPr>
        <w:t xml:space="preserve">pm </w:t>
      </w:r>
      <w:r w:rsidR="00073B05" w:rsidRPr="00A16353">
        <w:rPr>
          <w:rFonts w:asciiTheme="minorHAnsi" w:hAnsiTheme="minorHAnsi"/>
          <w:sz w:val="24"/>
        </w:rPr>
        <w:t xml:space="preserve">on </w:t>
      </w:r>
      <w:r w:rsidR="00562F60">
        <w:rPr>
          <w:rFonts w:asciiTheme="minorHAnsi" w:hAnsiTheme="minorHAnsi"/>
          <w:sz w:val="24"/>
        </w:rPr>
        <w:t xml:space="preserve">Monday, </w:t>
      </w:r>
      <w:r w:rsidR="006C267E">
        <w:rPr>
          <w:rFonts w:asciiTheme="minorHAnsi" w:hAnsiTheme="minorHAnsi"/>
          <w:sz w:val="24"/>
        </w:rPr>
        <w:t>April 23</w:t>
      </w:r>
      <w:r w:rsidR="0022136E">
        <w:rPr>
          <w:rFonts w:asciiTheme="minorHAnsi" w:hAnsiTheme="minorHAnsi"/>
          <w:sz w:val="24"/>
        </w:rPr>
        <w:t xml:space="preserve">, and </w:t>
      </w:r>
      <w:r w:rsidR="00562F60">
        <w:rPr>
          <w:rFonts w:asciiTheme="minorHAnsi" w:hAnsiTheme="minorHAnsi"/>
          <w:sz w:val="24"/>
        </w:rPr>
        <w:t xml:space="preserve">Tuesday, </w:t>
      </w:r>
      <w:r w:rsidR="006C267E">
        <w:rPr>
          <w:rFonts w:asciiTheme="minorHAnsi" w:hAnsiTheme="minorHAnsi"/>
          <w:sz w:val="24"/>
        </w:rPr>
        <w:t>April 24</w:t>
      </w:r>
      <w:r w:rsidR="002974AD" w:rsidRPr="00A16353">
        <w:rPr>
          <w:rFonts w:asciiTheme="minorHAnsi" w:hAnsiTheme="minorHAnsi"/>
          <w:sz w:val="24"/>
        </w:rPr>
        <w:t xml:space="preserve">.  </w:t>
      </w:r>
      <w:r w:rsidRPr="00A16353">
        <w:rPr>
          <w:rFonts w:asciiTheme="minorHAnsi" w:hAnsiTheme="minorHAnsi"/>
          <w:sz w:val="24"/>
        </w:rPr>
        <w:t>With a sample of</w:t>
      </w:r>
      <w:r w:rsidR="00741192">
        <w:rPr>
          <w:rFonts w:asciiTheme="minorHAnsi" w:hAnsiTheme="minorHAnsi"/>
          <w:sz w:val="24"/>
        </w:rPr>
        <w:t xml:space="preserve"> </w:t>
      </w:r>
      <w:r w:rsidR="00BC26BC">
        <w:rPr>
          <w:rFonts w:asciiTheme="minorHAnsi" w:hAnsiTheme="minorHAnsi"/>
          <w:sz w:val="24"/>
        </w:rPr>
        <w:t>404</w:t>
      </w:r>
      <w:r w:rsidR="001E2C62">
        <w:rPr>
          <w:rFonts w:asciiTheme="minorHAnsi" w:hAnsiTheme="minorHAnsi"/>
          <w:sz w:val="24"/>
        </w:rPr>
        <w:t xml:space="preserve"> </w:t>
      </w:r>
      <w:r w:rsidRPr="00A16353">
        <w:rPr>
          <w:rFonts w:asciiTheme="minorHAnsi" w:hAnsiTheme="minorHAnsi"/>
          <w:sz w:val="24"/>
        </w:rPr>
        <w:t>people, we can say with 95% confidence that the amount of survey error due to taking a random sample instead of surveying all members of the population is ±</w:t>
      </w:r>
      <w:r w:rsidR="00DC4D45" w:rsidRPr="00A16353">
        <w:rPr>
          <w:rFonts w:asciiTheme="minorHAnsi" w:hAnsiTheme="minorHAnsi"/>
          <w:sz w:val="24"/>
        </w:rPr>
        <w:t xml:space="preserve"> </w:t>
      </w:r>
      <w:r w:rsidR="00BC26BC">
        <w:rPr>
          <w:rFonts w:asciiTheme="minorHAnsi" w:hAnsiTheme="minorHAnsi"/>
          <w:sz w:val="24"/>
        </w:rPr>
        <w:t>4.9</w:t>
      </w:r>
      <w:r w:rsidR="00FF2BE6" w:rsidRPr="00A16353">
        <w:rPr>
          <w:rFonts w:asciiTheme="minorHAnsi" w:hAnsiTheme="minorHAnsi"/>
          <w:sz w:val="24"/>
        </w:rPr>
        <w:t>%</w:t>
      </w:r>
      <w:r w:rsidRPr="00A16353">
        <w:rPr>
          <w:rFonts w:asciiTheme="minorHAnsi" w:hAnsiTheme="minorHAnsi"/>
          <w:sz w:val="24"/>
        </w:rPr>
        <w:t xml:space="preserve">.  Other factors such as problems with question wording and question interpretation can also </w:t>
      </w:r>
      <w:r w:rsidR="00AB6215" w:rsidRPr="00A16353">
        <w:rPr>
          <w:rFonts w:asciiTheme="minorHAnsi" w:hAnsiTheme="minorHAnsi"/>
          <w:sz w:val="24"/>
        </w:rPr>
        <w:t xml:space="preserve">introduce </w:t>
      </w:r>
      <w:r w:rsidRPr="00A16353">
        <w:rPr>
          <w:rFonts w:asciiTheme="minorHAnsi" w:hAnsiTheme="minorHAnsi"/>
          <w:sz w:val="24"/>
        </w:rPr>
        <w:t xml:space="preserve">additional bias or error into the results.  Results from the Middle Tennessee consumer </w:t>
      </w:r>
      <w:r w:rsidR="005E61A0">
        <w:rPr>
          <w:rFonts w:asciiTheme="minorHAnsi" w:hAnsiTheme="minorHAnsi"/>
          <w:sz w:val="24"/>
        </w:rPr>
        <w:t xml:space="preserve">outlook </w:t>
      </w:r>
      <w:r w:rsidRPr="00A16353">
        <w:rPr>
          <w:rFonts w:asciiTheme="minorHAnsi" w:hAnsiTheme="minorHAnsi"/>
          <w:sz w:val="24"/>
        </w:rPr>
        <w:t>surveys can be compared to national consumer surveys published monthly by the Conference Board (</w:t>
      </w:r>
      <w:hyperlink r:id="rId17" w:history="1">
        <w:r w:rsidRPr="00A16353">
          <w:rPr>
            <w:rStyle w:val="Hyperlink"/>
            <w:rFonts w:asciiTheme="minorHAnsi" w:hAnsiTheme="minorHAnsi"/>
            <w:sz w:val="24"/>
          </w:rPr>
          <w:t>www.conference-board.org</w:t>
        </w:r>
      </w:hyperlink>
      <w:r w:rsidRPr="00A16353">
        <w:rPr>
          <w:rFonts w:asciiTheme="minorHAnsi" w:hAnsiTheme="minorHAnsi"/>
          <w:sz w:val="24"/>
        </w:rPr>
        <w:t xml:space="preserve">).  This report is also available on the </w:t>
      </w:r>
      <w:r w:rsidR="005027A9" w:rsidRPr="00A16353">
        <w:rPr>
          <w:rFonts w:asciiTheme="minorHAnsi" w:hAnsiTheme="minorHAnsi"/>
          <w:sz w:val="24"/>
        </w:rPr>
        <w:t xml:space="preserve">Office of Consumer Research </w:t>
      </w:r>
      <w:r w:rsidRPr="00A16353">
        <w:rPr>
          <w:rFonts w:asciiTheme="minorHAnsi" w:hAnsiTheme="minorHAnsi"/>
          <w:sz w:val="24"/>
        </w:rPr>
        <w:t>web page (</w:t>
      </w:r>
      <w:hyperlink r:id="rId18" w:history="1">
        <w:r w:rsidR="00566943" w:rsidRPr="004F6CD3">
          <w:rPr>
            <w:rStyle w:val="Hyperlink"/>
            <w:rFonts w:asciiTheme="minorHAnsi" w:hAnsiTheme="minorHAnsi"/>
            <w:sz w:val="24"/>
          </w:rPr>
          <w:t>www.mtsu.edu/consumer</w:t>
        </w:r>
      </w:hyperlink>
      <w:r w:rsidRPr="00A16353">
        <w:rPr>
          <w:rFonts w:asciiTheme="minorHAnsi" w:hAnsiTheme="minorHAnsi"/>
          <w:sz w:val="24"/>
        </w:rPr>
        <w:t xml:space="preserve">).   </w:t>
      </w:r>
    </w:p>
    <w:p w:rsidR="00993846" w:rsidRPr="00A16353" w:rsidRDefault="00993846" w:rsidP="009E29D4">
      <w:pPr>
        <w:jc w:val="both"/>
        <w:rPr>
          <w:rFonts w:asciiTheme="minorHAnsi" w:hAnsiTheme="minorHAnsi"/>
          <w:sz w:val="24"/>
        </w:rPr>
      </w:pPr>
    </w:p>
    <w:p w:rsidR="00105183" w:rsidRPr="00A16353" w:rsidRDefault="00105183" w:rsidP="009E29D4">
      <w:pPr>
        <w:jc w:val="both"/>
        <w:rPr>
          <w:rFonts w:asciiTheme="minorHAnsi" w:hAnsiTheme="minorHAnsi"/>
          <w:sz w:val="24"/>
        </w:rPr>
      </w:pPr>
      <w:r w:rsidRPr="00A16353">
        <w:rPr>
          <w:rFonts w:asciiTheme="minorHAnsi" w:hAnsiTheme="minorHAnsi"/>
          <w:sz w:val="24"/>
        </w:rPr>
        <w:t xml:space="preserve">     The </w:t>
      </w:r>
      <w:r w:rsidR="00A07B8D">
        <w:rPr>
          <w:rFonts w:asciiTheme="minorHAnsi" w:hAnsiTheme="minorHAnsi"/>
          <w:sz w:val="24"/>
        </w:rPr>
        <w:t xml:space="preserve">Consumer </w:t>
      </w:r>
      <w:r w:rsidR="006C267E">
        <w:rPr>
          <w:rFonts w:asciiTheme="minorHAnsi" w:hAnsiTheme="minorHAnsi"/>
          <w:sz w:val="24"/>
        </w:rPr>
        <w:t>O</w:t>
      </w:r>
      <w:r w:rsidR="00A07B8D">
        <w:rPr>
          <w:rFonts w:asciiTheme="minorHAnsi" w:hAnsiTheme="minorHAnsi"/>
          <w:sz w:val="24"/>
        </w:rPr>
        <w:t xml:space="preserve">utlook </w:t>
      </w:r>
      <w:r w:rsidR="006C267E">
        <w:rPr>
          <w:rFonts w:asciiTheme="minorHAnsi" w:hAnsiTheme="minorHAnsi"/>
          <w:sz w:val="24"/>
        </w:rPr>
        <w:t>I</w:t>
      </w:r>
      <w:r w:rsidR="00A07B8D">
        <w:rPr>
          <w:rFonts w:asciiTheme="minorHAnsi" w:hAnsiTheme="minorHAnsi"/>
          <w:sz w:val="24"/>
        </w:rPr>
        <w:t>ndex</w:t>
      </w:r>
      <w:r w:rsidRPr="00A16353">
        <w:rPr>
          <w:rFonts w:asciiTheme="minorHAnsi" w:hAnsiTheme="minorHAnsi"/>
          <w:sz w:val="24"/>
        </w:rPr>
        <w:t xml:space="preserve"> is based on all 11</w:t>
      </w:r>
      <w:r w:rsidR="00EA6EAC" w:rsidRPr="00A16353">
        <w:rPr>
          <w:rFonts w:asciiTheme="minorHAnsi" w:hAnsiTheme="minorHAnsi"/>
          <w:sz w:val="24"/>
        </w:rPr>
        <w:t xml:space="preserve"> </w:t>
      </w:r>
      <w:r w:rsidRPr="00A16353">
        <w:rPr>
          <w:rFonts w:asciiTheme="minorHAnsi" w:hAnsiTheme="minorHAnsi"/>
          <w:sz w:val="24"/>
        </w:rPr>
        <w:t xml:space="preserve">survey questions outlined below.  The score is computed by adding the percentage of positive responses to each question, and subtracting the percentage of negative responses.  The </w:t>
      </w:r>
      <w:r w:rsidR="00993846" w:rsidRPr="00A16353">
        <w:rPr>
          <w:rFonts w:asciiTheme="minorHAnsi" w:hAnsiTheme="minorHAnsi"/>
          <w:sz w:val="24"/>
        </w:rPr>
        <w:t xml:space="preserve">Current </w:t>
      </w:r>
      <w:r w:rsidRPr="00A16353">
        <w:rPr>
          <w:rFonts w:asciiTheme="minorHAnsi" w:hAnsiTheme="minorHAnsi"/>
          <w:sz w:val="24"/>
        </w:rPr>
        <w:t xml:space="preserve">Situation Index is based on questions 1, 3, 5, and 7 (see the following tables of results).  The Future Expectations Index is based on questions 2, 4, 6, and 8.  The Purchasing Index is based on questions 9, 10, and 11. </w:t>
      </w:r>
    </w:p>
    <w:p w:rsidR="00A25ED9" w:rsidRPr="00A16353" w:rsidRDefault="00A25ED9" w:rsidP="00105183">
      <w:pPr>
        <w:rPr>
          <w:rFonts w:asciiTheme="minorHAnsi" w:hAnsiTheme="minorHAnsi"/>
          <w:b/>
          <w:bCs/>
          <w:sz w:val="24"/>
          <w:u w:val="single"/>
        </w:rPr>
      </w:pPr>
    </w:p>
    <w:p w:rsidR="002B67F2" w:rsidRPr="00A16353" w:rsidRDefault="002B67F2" w:rsidP="00105183">
      <w:pPr>
        <w:rPr>
          <w:rFonts w:asciiTheme="minorHAnsi" w:hAnsiTheme="minorHAnsi"/>
          <w:b/>
          <w:bCs/>
          <w:sz w:val="24"/>
          <w:u w:val="single"/>
        </w:rPr>
      </w:pPr>
    </w:p>
    <w:p w:rsidR="00105183" w:rsidRPr="00A16353" w:rsidRDefault="00105183" w:rsidP="00105183">
      <w:pPr>
        <w:rPr>
          <w:rFonts w:asciiTheme="minorHAnsi" w:hAnsiTheme="minorHAnsi"/>
          <w:b/>
          <w:bCs/>
          <w:sz w:val="24"/>
          <w:u w:val="single"/>
        </w:rPr>
      </w:pPr>
      <w:r w:rsidRPr="00A16353">
        <w:rPr>
          <w:rFonts w:asciiTheme="minorHAnsi" w:hAnsiTheme="minorHAnsi"/>
          <w:b/>
          <w:bCs/>
          <w:sz w:val="24"/>
          <w:u w:val="single"/>
        </w:rPr>
        <w:t>About the Office of Consumer Research at MTSU</w:t>
      </w:r>
    </w:p>
    <w:p w:rsidR="00A25ED9" w:rsidRPr="00A16353" w:rsidRDefault="00A25ED9" w:rsidP="00105183">
      <w:pPr>
        <w:rPr>
          <w:rFonts w:asciiTheme="minorHAnsi" w:hAnsiTheme="minorHAnsi"/>
          <w:b/>
          <w:bCs/>
          <w:sz w:val="24"/>
          <w:u w:val="single"/>
        </w:rPr>
      </w:pPr>
    </w:p>
    <w:p w:rsidR="00105183" w:rsidRPr="00A16353" w:rsidRDefault="00105183" w:rsidP="009E29D4">
      <w:pPr>
        <w:jc w:val="both"/>
        <w:rPr>
          <w:rFonts w:asciiTheme="minorHAnsi" w:hAnsiTheme="minorHAnsi"/>
          <w:sz w:val="24"/>
        </w:rPr>
      </w:pPr>
      <w:r w:rsidRPr="00A16353">
        <w:rPr>
          <w:rFonts w:asciiTheme="minorHAnsi" w:hAnsiTheme="minorHAnsi"/>
          <w:sz w:val="24"/>
        </w:rPr>
        <w:t xml:space="preserve">     </w:t>
      </w:r>
      <w:r w:rsidR="00906A6F" w:rsidRPr="00A16353">
        <w:rPr>
          <w:rFonts w:asciiTheme="minorHAnsi" w:hAnsiTheme="minorHAnsi"/>
          <w:sz w:val="24"/>
        </w:rPr>
        <w:t>In 2000, t</w:t>
      </w:r>
      <w:r w:rsidRPr="00A16353">
        <w:rPr>
          <w:rFonts w:asciiTheme="minorHAnsi" w:hAnsiTheme="minorHAnsi"/>
          <w:sz w:val="24"/>
        </w:rPr>
        <w:t xml:space="preserve">he Management and Marketing Department at </w:t>
      </w:r>
      <w:smartTag w:uri="urn:schemas-microsoft-com:office:smarttags" w:element="place">
        <w:smartTag w:uri="urn:schemas-microsoft-com:office:smarttags" w:element="PlaceName">
          <w:r w:rsidRPr="00A16353">
            <w:rPr>
              <w:rFonts w:asciiTheme="minorHAnsi" w:hAnsiTheme="minorHAnsi"/>
              <w:sz w:val="24"/>
            </w:rPr>
            <w:t>Middle</w:t>
          </w:r>
        </w:smartTag>
        <w:r w:rsidRPr="00A16353">
          <w:rPr>
            <w:rFonts w:asciiTheme="minorHAnsi" w:hAnsiTheme="minorHAnsi"/>
            <w:sz w:val="24"/>
          </w:rPr>
          <w:t xml:space="preserve"> </w:t>
        </w:r>
        <w:smartTag w:uri="urn:schemas-microsoft-com:office:smarttags" w:element="PlaceName">
          <w:r w:rsidRPr="00A16353">
            <w:rPr>
              <w:rFonts w:asciiTheme="minorHAnsi" w:hAnsiTheme="minorHAnsi"/>
              <w:sz w:val="24"/>
            </w:rPr>
            <w:t>Tennessee</w:t>
          </w:r>
        </w:smartTag>
        <w:r w:rsidRPr="00A16353">
          <w:rPr>
            <w:rFonts w:asciiTheme="minorHAnsi" w:hAnsiTheme="minorHAnsi"/>
            <w:sz w:val="24"/>
          </w:rPr>
          <w:t xml:space="preserve"> </w:t>
        </w:r>
        <w:smartTag w:uri="urn:schemas-microsoft-com:office:smarttags" w:element="PlaceType">
          <w:r w:rsidRPr="00A16353">
            <w:rPr>
              <w:rFonts w:asciiTheme="minorHAnsi" w:hAnsiTheme="minorHAnsi"/>
              <w:sz w:val="24"/>
            </w:rPr>
            <w:t>State</w:t>
          </w:r>
        </w:smartTag>
        <w:r w:rsidRPr="00A16353">
          <w:rPr>
            <w:rFonts w:asciiTheme="minorHAnsi" w:hAnsiTheme="minorHAnsi"/>
            <w:sz w:val="24"/>
          </w:rPr>
          <w:t xml:space="preserve"> </w:t>
        </w:r>
        <w:smartTag w:uri="urn:schemas-microsoft-com:office:smarttags" w:element="PlaceType">
          <w:r w:rsidRPr="00A16353">
            <w:rPr>
              <w:rFonts w:asciiTheme="minorHAnsi" w:hAnsiTheme="minorHAnsi"/>
              <w:sz w:val="24"/>
            </w:rPr>
            <w:t>University</w:t>
          </w:r>
        </w:smartTag>
      </w:smartTag>
      <w:r w:rsidRPr="00A16353">
        <w:rPr>
          <w:rFonts w:asciiTheme="minorHAnsi" w:hAnsiTheme="minorHAnsi"/>
          <w:sz w:val="24"/>
        </w:rPr>
        <w:t xml:space="preserve"> received funding from an MTSU Technology Access Fee grant to create a telephone survey research lab and the Office of Consumer Research to be housed in the department.  The Office of Consumer Research uses the telephone survey lab to conduct surveys of consumer</w:t>
      </w:r>
      <w:r w:rsidR="00EE0442">
        <w:rPr>
          <w:rFonts w:asciiTheme="minorHAnsi" w:hAnsiTheme="minorHAnsi"/>
          <w:sz w:val="24"/>
        </w:rPr>
        <w:t>s</w:t>
      </w:r>
      <w:r w:rsidRPr="00A16353">
        <w:rPr>
          <w:rFonts w:asciiTheme="minorHAnsi" w:hAnsiTheme="minorHAnsi"/>
          <w:sz w:val="24"/>
        </w:rPr>
        <w:t xml:space="preserve"> in Middle Tennessee.  The surveys measure consumers’ perceptions of economic conditions in the country as a whole as well as in Middle Tennessee.  Similar surveys conducted by the Conference Board and the Survey Research Center at the University of Michigan have been shown to be very predictive of key economic indicators such as inflation, interest rates and consumer spending.       </w:t>
      </w:r>
    </w:p>
    <w:p w:rsidR="00105183" w:rsidRPr="00A16353" w:rsidRDefault="00105183" w:rsidP="009E29D4">
      <w:pPr>
        <w:jc w:val="both"/>
        <w:rPr>
          <w:rFonts w:asciiTheme="minorHAnsi" w:hAnsiTheme="minorHAnsi"/>
          <w:sz w:val="24"/>
        </w:rPr>
      </w:pPr>
      <w:r w:rsidRPr="00A16353">
        <w:rPr>
          <w:rFonts w:asciiTheme="minorHAnsi" w:hAnsiTheme="minorHAnsi"/>
          <w:sz w:val="24"/>
        </w:rPr>
        <w:t xml:space="preserve">          Students in Professor Timothy R. </w:t>
      </w:r>
      <w:proofErr w:type="spellStart"/>
      <w:r w:rsidRPr="00A16353">
        <w:rPr>
          <w:rFonts w:asciiTheme="minorHAnsi" w:hAnsiTheme="minorHAnsi"/>
          <w:sz w:val="24"/>
        </w:rPr>
        <w:t>Graeff’s</w:t>
      </w:r>
      <w:proofErr w:type="spellEnd"/>
      <w:r w:rsidRPr="00A16353">
        <w:rPr>
          <w:rFonts w:asciiTheme="minorHAnsi" w:hAnsiTheme="minorHAnsi"/>
          <w:sz w:val="24"/>
        </w:rPr>
        <w:t xml:space="preserve"> marketing research courses conduct the telephone surveys.  For further information contact Timothy R. Graeff, Professor of Marketing and Director, Office of Consumer Research (898-5124; </w:t>
      </w:r>
      <w:r w:rsidR="00E14DB2">
        <w:rPr>
          <w:rFonts w:asciiTheme="minorHAnsi" w:hAnsiTheme="minorHAnsi"/>
          <w:sz w:val="24"/>
        </w:rPr>
        <w:t>Tim.Graeff</w:t>
      </w:r>
      <w:r w:rsidRPr="00A16353">
        <w:rPr>
          <w:rFonts w:asciiTheme="minorHAnsi" w:hAnsiTheme="minorHAnsi"/>
          <w:sz w:val="24"/>
        </w:rPr>
        <w:t>@mtsu.edu).</w:t>
      </w:r>
    </w:p>
    <w:p w:rsidR="00FE663C" w:rsidRPr="00A16353" w:rsidRDefault="00FE663C" w:rsidP="00FF2BE6">
      <w:pPr>
        <w:rPr>
          <w:rFonts w:asciiTheme="minorHAnsi" w:hAnsiTheme="minorHAnsi"/>
          <w:b/>
          <w:bCs/>
          <w:sz w:val="24"/>
          <w:u w:val="single"/>
        </w:rPr>
      </w:pPr>
    </w:p>
    <w:p w:rsidR="00FE663C" w:rsidRDefault="00FE663C">
      <w:pPr>
        <w:rPr>
          <w:b/>
          <w:bCs/>
          <w:sz w:val="24"/>
          <w:u w:val="single"/>
        </w:rPr>
      </w:pPr>
    </w:p>
    <w:p w:rsidR="00F87D58" w:rsidRDefault="00F87D58">
      <w:pPr>
        <w:rPr>
          <w:b/>
          <w:bCs/>
          <w:sz w:val="24"/>
          <w:u w:val="single"/>
        </w:rPr>
      </w:pPr>
    </w:p>
    <w:p w:rsidR="00BC26BC" w:rsidRDefault="002D22C7" w:rsidP="00BC26BC">
      <w:pPr>
        <w:rPr>
          <w:b/>
          <w:bCs/>
          <w:sz w:val="24"/>
          <w:u w:val="single"/>
        </w:rPr>
      </w:pPr>
      <w:r>
        <w:rPr>
          <w:b/>
          <w:bCs/>
          <w:sz w:val="24"/>
          <w:u w:val="single"/>
        </w:rPr>
        <w:br w:type="column"/>
      </w:r>
    </w:p>
    <w:tbl>
      <w:tblPr>
        <w:tblW w:w="9360" w:type="dxa"/>
        <w:tblInd w:w="93" w:type="dxa"/>
        <w:tblLook w:val="04A0" w:firstRow="1" w:lastRow="0" w:firstColumn="1" w:lastColumn="0" w:noHBand="0" w:noVBand="1"/>
      </w:tblPr>
      <w:tblGrid>
        <w:gridCol w:w="1960"/>
        <w:gridCol w:w="1140"/>
        <w:gridCol w:w="520"/>
        <w:gridCol w:w="500"/>
        <w:gridCol w:w="546"/>
        <w:gridCol w:w="540"/>
        <w:gridCol w:w="580"/>
        <w:gridCol w:w="600"/>
        <w:gridCol w:w="620"/>
        <w:gridCol w:w="580"/>
        <w:gridCol w:w="580"/>
        <w:gridCol w:w="580"/>
        <w:gridCol w:w="640"/>
      </w:tblGrid>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Consumer Outlook</w:t>
            </w: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 xml:space="preserve"> </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Apr</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Jun</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Sept</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Dec</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Feb</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Apr</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May</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Sept</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Dec</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Jan</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Apr</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Recent Results:</w:t>
            </w: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10</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10</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10</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10</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11</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11</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11</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11</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11</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12</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12</w:t>
            </w:r>
          </w:p>
        </w:tc>
      </w:tr>
      <w:tr w:rsidR="00BC26BC" w:rsidRPr="00BC26BC" w:rsidTr="00092E33">
        <w:trPr>
          <w:trHeight w:val="255"/>
        </w:trPr>
        <w:tc>
          <w:tcPr>
            <w:tcW w:w="1960" w:type="dxa"/>
            <w:tcBorders>
              <w:top w:val="nil"/>
              <w:left w:val="nil"/>
              <w:bottom w:val="single" w:sz="4" w:space="0" w:color="auto"/>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 </w:t>
            </w:r>
          </w:p>
        </w:tc>
        <w:tc>
          <w:tcPr>
            <w:tcW w:w="1140" w:type="dxa"/>
            <w:tcBorders>
              <w:top w:val="nil"/>
              <w:left w:val="nil"/>
              <w:bottom w:val="single" w:sz="4" w:space="0" w:color="auto"/>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 </w:t>
            </w:r>
          </w:p>
        </w:tc>
        <w:tc>
          <w:tcPr>
            <w:tcW w:w="520" w:type="dxa"/>
            <w:tcBorders>
              <w:top w:val="nil"/>
              <w:left w:val="nil"/>
              <w:bottom w:val="single" w:sz="4" w:space="0" w:color="auto"/>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w:t>
            </w:r>
          </w:p>
        </w:tc>
        <w:tc>
          <w:tcPr>
            <w:tcW w:w="500" w:type="dxa"/>
            <w:tcBorders>
              <w:top w:val="nil"/>
              <w:left w:val="nil"/>
              <w:bottom w:val="single" w:sz="4" w:space="0" w:color="auto"/>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w:t>
            </w:r>
          </w:p>
        </w:tc>
        <w:tc>
          <w:tcPr>
            <w:tcW w:w="520" w:type="dxa"/>
            <w:tcBorders>
              <w:top w:val="nil"/>
              <w:left w:val="nil"/>
              <w:bottom w:val="single" w:sz="4" w:space="0" w:color="auto"/>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w:t>
            </w:r>
          </w:p>
        </w:tc>
        <w:tc>
          <w:tcPr>
            <w:tcW w:w="540" w:type="dxa"/>
            <w:tcBorders>
              <w:top w:val="nil"/>
              <w:left w:val="nil"/>
              <w:bottom w:val="single" w:sz="4" w:space="0" w:color="auto"/>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w:t>
            </w:r>
          </w:p>
        </w:tc>
        <w:tc>
          <w:tcPr>
            <w:tcW w:w="580" w:type="dxa"/>
            <w:tcBorders>
              <w:top w:val="nil"/>
              <w:left w:val="nil"/>
              <w:bottom w:val="single" w:sz="4" w:space="0" w:color="auto"/>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w:t>
            </w:r>
          </w:p>
        </w:tc>
        <w:tc>
          <w:tcPr>
            <w:tcW w:w="600" w:type="dxa"/>
            <w:tcBorders>
              <w:top w:val="nil"/>
              <w:left w:val="nil"/>
              <w:bottom w:val="single" w:sz="4" w:space="0" w:color="auto"/>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w:t>
            </w:r>
          </w:p>
        </w:tc>
        <w:tc>
          <w:tcPr>
            <w:tcW w:w="620" w:type="dxa"/>
            <w:tcBorders>
              <w:top w:val="nil"/>
              <w:left w:val="nil"/>
              <w:bottom w:val="single" w:sz="4" w:space="0" w:color="auto"/>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w:t>
            </w:r>
          </w:p>
        </w:tc>
        <w:tc>
          <w:tcPr>
            <w:tcW w:w="580" w:type="dxa"/>
            <w:tcBorders>
              <w:top w:val="nil"/>
              <w:left w:val="nil"/>
              <w:bottom w:val="single" w:sz="4" w:space="0" w:color="auto"/>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w:t>
            </w:r>
          </w:p>
        </w:tc>
        <w:tc>
          <w:tcPr>
            <w:tcW w:w="580" w:type="dxa"/>
            <w:tcBorders>
              <w:top w:val="nil"/>
              <w:left w:val="nil"/>
              <w:bottom w:val="single" w:sz="4" w:space="0" w:color="auto"/>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w:t>
            </w:r>
          </w:p>
        </w:tc>
        <w:tc>
          <w:tcPr>
            <w:tcW w:w="580" w:type="dxa"/>
            <w:tcBorders>
              <w:top w:val="nil"/>
              <w:left w:val="nil"/>
              <w:bottom w:val="single" w:sz="4" w:space="0" w:color="auto"/>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 xml:space="preserve">(%) </w:t>
            </w:r>
          </w:p>
        </w:tc>
        <w:tc>
          <w:tcPr>
            <w:tcW w:w="640" w:type="dxa"/>
            <w:tcBorders>
              <w:top w:val="nil"/>
              <w:left w:val="nil"/>
              <w:bottom w:val="single" w:sz="4" w:space="0" w:color="auto"/>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Are business conditions</w:t>
            </w: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Good</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7</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7</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7</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8</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8</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9</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7</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9</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7</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11</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in the U.S.</w:t>
            </w: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In Between</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59</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61</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54</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58</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64</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58</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65</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52</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55</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62</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66</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Bad</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33</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32</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41</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34</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28</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34</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26</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41</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36</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30</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21</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0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60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62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rPr>
                <w:rFonts w:ascii="Arial" w:hAnsi="Arial" w:cs="Arial"/>
                <w:b/>
                <w:bCs/>
                <w:sz w:val="16"/>
                <w:szCs w:val="16"/>
              </w:rPr>
            </w:pP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 xml:space="preserve">Six months from now,  </w:t>
            </w: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 xml:space="preserve">Better </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42</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39</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33</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35</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44</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27</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34</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30</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32</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36</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33</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will business conditions</w:t>
            </w: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About same</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42</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43</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45</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47</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44</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54</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50</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49</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49</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54</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49</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in the U.S. be:</w:t>
            </w: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Worse</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15</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16</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18</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17</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10</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17</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15</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19</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18</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7</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15</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0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60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62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rPr>
                <w:rFonts w:ascii="Arial" w:hAnsi="Arial" w:cs="Arial"/>
                <w:b/>
                <w:bCs/>
                <w:sz w:val="16"/>
                <w:szCs w:val="16"/>
              </w:rPr>
            </w:pP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Are business conditions</w:t>
            </w: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Good</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17</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25</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20</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18</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23</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24</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25</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23</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24</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27</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32</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in Middle TN:</w:t>
            </w: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In Between</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59</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60</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63</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62</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59</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57</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60</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60</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59</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55</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59</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Bad</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22</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14</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16</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19</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17</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16</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15</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16</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15</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16</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9</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0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60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62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rPr>
                <w:rFonts w:ascii="Arial" w:hAnsi="Arial" w:cs="Arial"/>
                <w:b/>
                <w:bCs/>
                <w:sz w:val="16"/>
                <w:szCs w:val="16"/>
              </w:rPr>
            </w:pP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 xml:space="preserve">Six months from now,  </w:t>
            </w: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Better</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42</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40</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38</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36</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40</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33</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38</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31</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40</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38</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37</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will business conditions</w:t>
            </w: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About same</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48</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51</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51</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53</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51</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55</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53</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57</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49</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54</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54</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in Middle TN be:</w:t>
            </w: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Worse</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10</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7</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9</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11</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8</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10</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8</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11</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9</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6</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7</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0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60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62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rPr>
                <w:rFonts w:ascii="Arial" w:hAnsi="Arial" w:cs="Arial"/>
                <w:b/>
                <w:bCs/>
                <w:sz w:val="16"/>
                <w:szCs w:val="16"/>
              </w:rPr>
            </w:pP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Are jobs in Middle TN:</w:t>
            </w: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Easy to find</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5</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Found w/effort</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38</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38</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41</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41</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42</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46</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37</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42</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51</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46</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51</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Hard to find</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55</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56</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51</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52</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53</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47</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57</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51</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41</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41</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38</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0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60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62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rPr>
                <w:rFonts w:ascii="Arial" w:hAnsi="Arial" w:cs="Arial"/>
                <w:b/>
                <w:bCs/>
                <w:sz w:val="16"/>
                <w:szCs w:val="16"/>
              </w:rPr>
            </w:pP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 xml:space="preserve">In Middle TN six months </w:t>
            </w: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More</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35</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37</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35</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29</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39</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34</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32</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26</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38</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39</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40</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from now there will be</w:t>
            </w: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About same</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48</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50</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50</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54</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48</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51</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54</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53</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49</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47</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46</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 of job):</w:t>
            </w: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 xml:space="preserve">Fewer </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14</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10</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12</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15</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11</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12</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13</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19</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11</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9</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11</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0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60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62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rPr>
                <w:rFonts w:ascii="Arial" w:hAnsi="Arial" w:cs="Arial"/>
                <w:b/>
                <w:bCs/>
                <w:sz w:val="16"/>
                <w:szCs w:val="16"/>
              </w:rPr>
            </w:pP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 xml:space="preserve">Compared to a year ago,  </w:t>
            </w: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 xml:space="preserve">Better </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15</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12</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17</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17</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18</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16</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13</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19</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17</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19</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19</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is your personal financial</w:t>
            </w: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About same</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55</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57</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54</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52</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54</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48</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53</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50</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57</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54</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58</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situation:</w:t>
            </w: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Worse</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30</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31</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30</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31</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28</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37</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34</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31</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27</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26</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23</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0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60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62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rPr>
                <w:rFonts w:ascii="Arial" w:hAnsi="Arial" w:cs="Arial"/>
                <w:b/>
                <w:bCs/>
                <w:sz w:val="16"/>
                <w:szCs w:val="16"/>
              </w:rPr>
            </w:pP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 xml:space="preserve">In 12 months will your  </w:t>
            </w: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Better</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45</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26</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40</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40</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37</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34</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37</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32</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35</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39</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44</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 xml:space="preserve">personal financial </w:t>
            </w: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About same</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46</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62</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52</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49</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55</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52</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57</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57</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55</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53</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50</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situation be:</w:t>
            </w: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Worse</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8</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11</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8</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11</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8</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14</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6</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11</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10</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6</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0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60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62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rPr>
                <w:rFonts w:ascii="Arial" w:hAnsi="Arial" w:cs="Arial"/>
                <w:b/>
                <w:bCs/>
                <w:sz w:val="16"/>
                <w:szCs w:val="16"/>
              </w:rPr>
            </w:pP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 xml:space="preserve">Is now a good time to  </w:t>
            </w: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Good time</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33</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36</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32</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39</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36</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30</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25</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28</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33</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32</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32</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buy large items for</w:t>
            </w: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In between</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38</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36</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38</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33</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37</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41</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48</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39</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39</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42</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45</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roofErr w:type="gramStart"/>
            <w:r w:rsidRPr="00BC26BC">
              <w:rPr>
                <w:rFonts w:ascii="Arial" w:hAnsi="Arial" w:cs="Arial"/>
                <w:sz w:val="16"/>
                <w:szCs w:val="16"/>
              </w:rPr>
              <w:t>the</w:t>
            </w:r>
            <w:proofErr w:type="gramEnd"/>
            <w:r w:rsidRPr="00BC26BC">
              <w:rPr>
                <w:rFonts w:ascii="Arial" w:hAnsi="Arial" w:cs="Arial"/>
                <w:sz w:val="16"/>
                <w:szCs w:val="16"/>
              </w:rPr>
              <w:t xml:space="preserve"> home?</w:t>
            </w: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Bad time</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27</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24</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28</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26</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23</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25</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22</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28</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22</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18</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18</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0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60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62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rPr>
                <w:rFonts w:ascii="Arial" w:hAnsi="Arial" w:cs="Arial"/>
                <w:b/>
                <w:bCs/>
                <w:sz w:val="16"/>
                <w:szCs w:val="16"/>
              </w:rPr>
            </w:pP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Is now a good time to</w:t>
            </w: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Good time</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70</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63</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68</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65</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66</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64</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57</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61</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66</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68</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71</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roofErr w:type="gramStart"/>
            <w:r w:rsidRPr="00BC26BC">
              <w:rPr>
                <w:rFonts w:ascii="Arial" w:hAnsi="Arial" w:cs="Arial"/>
                <w:sz w:val="16"/>
                <w:szCs w:val="16"/>
              </w:rPr>
              <w:t>buy</w:t>
            </w:r>
            <w:proofErr w:type="gramEnd"/>
            <w:r w:rsidRPr="00BC26BC">
              <w:rPr>
                <w:rFonts w:ascii="Arial" w:hAnsi="Arial" w:cs="Arial"/>
                <w:sz w:val="16"/>
                <w:szCs w:val="16"/>
              </w:rPr>
              <w:t xml:space="preserve"> a house?</w:t>
            </w: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In between</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14</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24</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16</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15</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15</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18</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17</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18</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16</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14</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17</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Bad time</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14</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13</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14</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18</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17</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15</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23</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18</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15</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15</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11</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0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60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62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rPr>
                <w:rFonts w:ascii="Arial" w:hAnsi="Arial" w:cs="Arial"/>
                <w:b/>
                <w:bCs/>
                <w:sz w:val="16"/>
                <w:szCs w:val="16"/>
              </w:rPr>
            </w:pP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 xml:space="preserve">Is now a good time to </w:t>
            </w: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Good time</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42</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46</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38</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36</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38</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35</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28</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34</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37</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33</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34</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roofErr w:type="gramStart"/>
            <w:r w:rsidRPr="00BC26BC">
              <w:rPr>
                <w:rFonts w:ascii="Arial" w:hAnsi="Arial" w:cs="Arial"/>
                <w:sz w:val="16"/>
                <w:szCs w:val="16"/>
              </w:rPr>
              <w:t>buy</w:t>
            </w:r>
            <w:proofErr w:type="gramEnd"/>
            <w:r w:rsidRPr="00BC26BC">
              <w:rPr>
                <w:rFonts w:ascii="Arial" w:hAnsi="Arial" w:cs="Arial"/>
                <w:sz w:val="16"/>
                <w:szCs w:val="16"/>
              </w:rPr>
              <w:t xml:space="preserve"> a car?</w:t>
            </w: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In between</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33</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34</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33</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38</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38</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35</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47</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39</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38</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42</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47</w:t>
            </w:r>
          </w:p>
        </w:tc>
      </w:tr>
      <w:tr w:rsidR="00BC26BC" w:rsidRPr="00BC26BC" w:rsidTr="00092E33">
        <w:trPr>
          <w:trHeight w:val="255"/>
        </w:trPr>
        <w:tc>
          <w:tcPr>
            <w:tcW w:w="196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p>
        </w:tc>
        <w:tc>
          <w:tcPr>
            <w:tcW w:w="1140" w:type="dxa"/>
            <w:tcBorders>
              <w:top w:val="nil"/>
              <w:left w:val="nil"/>
              <w:bottom w:val="nil"/>
              <w:right w:val="nil"/>
            </w:tcBorders>
            <w:shd w:val="clear" w:color="auto" w:fill="auto"/>
            <w:noWrap/>
            <w:vAlign w:val="bottom"/>
            <w:hideMark/>
          </w:tcPr>
          <w:p w:rsidR="00BC26BC" w:rsidRPr="00BC26BC" w:rsidRDefault="00BC26BC" w:rsidP="00BC26BC">
            <w:pPr>
              <w:rPr>
                <w:rFonts w:ascii="Arial" w:hAnsi="Arial" w:cs="Arial"/>
                <w:sz w:val="16"/>
                <w:szCs w:val="16"/>
              </w:rPr>
            </w:pPr>
            <w:r w:rsidRPr="00BC26BC">
              <w:rPr>
                <w:rFonts w:ascii="Arial" w:hAnsi="Arial" w:cs="Arial"/>
                <w:sz w:val="16"/>
                <w:szCs w:val="16"/>
              </w:rPr>
              <w:t>Bad time</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23</w:t>
            </w:r>
          </w:p>
        </w:tc>
        <w:tc>
          <w:tcPr>
            <w:tcW w:w="5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18</w:t>
            </w:r>
          </w:p>
        </w:tc>
        <w:tc>
          <w:tcPr>
            <w:tcW w:w="5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26</w:t>
            </w:r>
          </w:p>
        </w:tc>
        <w:tc>
          <w:tcPr>
            <w:tcW w:w="54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23</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20</w:t>
            </w:r>
          </w:p>
        </w:tc>
        <w:tc>
          <w:tcPr>
            <w:tcW w:w="60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27</w:t>
            </w:r>
          </w:p>
        </w:tc>
        <w:tc>
          <w:tcPr>
            <w:tcW w:w="62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21</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23</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20</w:t>
            </w:r>
          </w:p>
        </w:tc>
        <w:tc>
          <w:tcPr>
            <w:tcW w:w="580" w:type="dxa"/>
            <w:tcBorders>
              <w:top w:val="nil"/>
              <w:left w:val="nil"/>
              <w:bottom w:val="nil"/>
              <w:right w:val="nil"/>
            </w:tcBorders>
            <w:shd w:val="clear" w:color="auto" w:fill="auto"/>
            <w:noWrap/>
            <w:vAlign w:val="bottom"/>
            <w:hideMark/>
          </w:tcPr>
          <w:p w:rsidR="00BC26BC" w:rsidRPr="00BC26BC" w:rsidRDefault="00BC26BC" w:rsidP="00BC26BC">
            <w:pPr>
              <w:jc w:val="center"/>
              <w:rPr>
                <w:rFonts w:ascii="Arial" w:hAnsi="Arial" w:cs="Arial"/>
                <w:sz w:val="16"/>
                <w:szCs w:val="16"/>
              </w:rPr>
            </w:pPr>
            <w:r w:rsidRPr="00BC26BC">
              <w:rPr>
                <w:rFonts w:ascii="Arial" w:hAnsi="Arial" w:cs="Arial"/>
                <w:sz w:val="16"/>
                <w:szCs w:val="16"/>
              </w:rPr>
              <w:t>19</w:t>
            </w:r>
          </w:p>
        </w:tc>
        <w:tc>
          <w:tcPr>
            <w:tcW w:w="640" w:type="dxa"/>
            <w:tcBorders>
              <w:top w:val="nil"/>
              <w:left w:val="nil"/>
              <w:bottom w:val="nil"/>
              <w:right w:val="nil"/>
            </w:tcBorders>
            <w:shd w:val="clear" w:color="auto" w:fill="DBE5F1" w:themeFill="accent1" w:themeFillTint="33"/>
            <w:noWrap/>
            <w:vAlign w:val="bottom"/>
            <w:hideMark/>
          </w:tcPr>
          <w:p w:rsidR="00BC26BC" w:rsidRPr="00BC26BC" w:rsidRDefault="00BC26BC" w:rsidP="00BC26BC">
            <w:pPr>
              <w:jc w:val="center"/>
              <w:rPr>
                <w:rFonts w:ascii="Arial" w:hAnsi="Arial" w:cs="Arial"/>
                <w:b/>
                <w:bCs/>
                <w:sz w:val="16"/>
                <w:szCs w:val="16"/>
              </w:rPr>
            </w:pPr>
            <w:r w:rsidRPr="00BC26BC">
              <w:rPr>
                <w:rFonts w:ascii="Arial" w:hAnsi="Arial" w:cs="Arial"/>
                <w:b/>
                <w:bCs/>
                <w:sz w:val="16"/>
                <w:szCs w:val="16"/>
              </w:rPr>
              <w:t>15</w:t>
            </w:r>
          </w:p>
        </w:tc>
      </w:tr>
    </w:tbl>
    <w:p w:rsidR="002D22C7" w:rsidRDefault="00BC26BC" w:rsidP="00BC26BC">
      <w:pPr>
        <w:rPr>
          <w:b/>
          <w:bCs/>
          <w:sz w:val="24"/>
          <w:u w:val="single"/>
        </w:rPr>
      </w:pPr>
      <w:r>
        <w:rPr>
          <w:b/>
          <w:bCs/>
          <w:sz w:val="24"/>
          <w:u w:val="single"/>
        </w:rPr>
        <w:br w:type="column"/>
      </w:r>
    </w:p>
    <w:p w:rsidR="0017454B" w:rsidRPr="00A16353" w:rsidRDefault="0017454B" w:rsidP="0017454B">
      <w:pPr>
        <w:rPr>
          <w:rFonts w:asciiTheme="minorHAnsi" w:hAnsiTheme="minorHAnsi"/>
          <w:b/>
          <w:bCs/>
          <w:sz w:val="24"/>
          <w:u w:val="single"/>
        </w:rPr>
      </w:pPr>
    </w:p>
    <w:p w:rsidR="0070502B" w:rsidRDefault="0070502B">
      <w:pPr>
        <w:rPr>
          <w:rFonts w:asciiTheme="minorHAnsi" w:hAnsiTheme="minorHAnsi"/>
          <w:b/>
          <w:bCs/>
          <w:sz w:val="24"/>
          <w:u w:val="single"/>
        </w:rPr>
      </w:pPr>
      <w:r w:rsidRPr="00A16353">
        <w:rPr>
          <w:rFonts w:asciiTheme="minorHAnsi" w:hAnsiTheme="minorHAnsi"/>
          <w:b/>
          <w:bCs/>
          <w:sz w:val="24"/>
          <w:u w:val="single"/>
        </w:rPr>
        <w:t xml:space="preserve">The Middle Tennessee Consumer </w:t>
      </w:r>
      <w:r w:rsidR="00BC26BC">
        <w:rPr>
          <w:rFonts w:asciiTheme="minorHAnsi" w:hAnsiTheme="minorHAnsi"/>
          <w:b/>
          <w:bCs/>
          <w:sz w:val="24"/>
          <w:u w:val="single"/>
        </w:rPr>
        <w:t>Outlook</w:t>
      </w:r>
      <w:r w:rsidRPr="00A16353">
        <w:rPr>
          <w:rFonts w:asciiTheme="minorHAnsi" w:hAnsiTheme="minorHAnsi"/>
          <w:b/>
          <w:bCs/>
          <w:sz w:val="24"/>
          <w:u w:val="single"/>
        </w:rPr>
        <w:t xml:space="preserve"> Survey: </w:t>
      </w:r>
    </w:p>
    <w:p w:rsidR="002E038E" w:rsidRDefault="002E038E">
      <w:pPr>
        <w:rPr>
          <w:rFonts w:asciiTheme="minorHAnsi" w:hAnsiTheme="minorHAnsi"/>
          <w:b/>
          <w:bCs/>
          <w:sz w:val="24"/>
          <w:u w:val="single"/>
        </w:rPr>
      </w:pPr>
    </w:p>
    <w:p w:rsidR="002E038E" w:rsidRDefault="002E038E">
      <w:pPr>
        <w:rPr>
          <w:rFonts w:asciiTheme="minorHAnsi" w:hAnsiTheme="minorHAnsi"/>
          <w:bCs/>
          <w:sz w:val="24"/>
        </w:rPr>
      </w:pPr>
      <w:r w:rsidRPr="002E038E">
        <w:rPr>
          <w:rFonts w:asciiTheme="minorHAnsi" w:hAnsiTheme="minorHAnsi"/>
          <w:b/>
          <w:bCs/>
          <w:sz w:val="24"/>
        </w:rPr>
        <w:t>[</w:t>
      </w:r>
      <w:r w:rsidR="00566943">
        <w:rPr>
          <w:rFonts w:asciiTheme="minorHAnsi" w:hAnsiTheme="minorHAnsi"/>
          <w:b/>
          <w:bCs/>
          <w:sz w:val="24"/>
        </w:rPr>
        <w:t>C</w:t>
      </w:r>
      <w:r w:rsidRPr="002E038E">
        <w:rPr>
          <w:rFonts w:asciiTheme="minorHAnsi" w:hAnsiTheme="minorHAnsi"/>
          <w:b/>
          <w:bCs/>
          <w:sz w:val="24"/>
        </w:rPr>
        <w:t>]</w:t>
      </w:r>
      <w:r w:rsidRPr="002E038E">
        <w:rPr>
          <w:rFonts w:asciiTheme="minorHAnsi" w:hAnsiTheme="minorHAnsi"/>
          <w:bCs/>
          <w:sz w:val="24"/>
        </w:rPr>
        <w:t xml:space="preserve"> = included in the </w:t>
      </w:r>
      <w:r w:rsidR="00566943">
        <w:rPr>
          <w:rFonts w:asciiTheme="minorHAnsi" w:hAnsiTheme="minorHAnsi"/>
          <w:bCs/>
          <w:sz w:val="24"/>
        </w:rPr>
        <w:t>Current</w:t>
      </w:r>
      <w:r w:rsidRPr="002E038E">
        <w:rPr>
          <w:rFonts w:asciiTheme="minorHAnsi" w:hAnsiTheme="minorHAnsi"/>
          <w:bCs/>
          <w:sz w:val="24"/>
        </w:rPr>
        <w:t xml:space="preserve"> Situation Index</w:t>
      </w:r>
    </w:p>
    <w:p w:rsidR="002E038E" w:rsidRDefault="002E038E">
      <w:pPr>
        <w:rPr>
          <w:rFonts w:asciiTheme="minorHAnsi" w:hAnsiTheme="minorHAnsi"/>
          <w:bCs/>
          <w:sz w:val="24"/>
        </w:rPr>
      </w:pPr>
      <w:r w:rsidRPr="002E038E">
        <w:rPr>
          <w:rFonts w:asciiTheme="minorHAnsi" w:hAnsiTheme="minorHAnsi"/>
          <w:b/>
          <w:bCs/>
          <w:sz w:val="24"/>
        </w:rPr>
        <w:t xml:space="preserve">[F] </w:t>
      </w:r>
      <w:r w:rsidRPr="002E038E">
        <w:rPr>
          <w:rFonts w:asciiTheme="minorHAnsi" w:hAnsiTheme="minorHAnsi"/>
          <w:bCs/>
          <w:sz w:val="24"/>
        </w:rPr>
        <w:t xml:space="preserve">= included in the Future Expectations Index; </w:t>
      </w:r>
    </w:p>
    <w:p w:rsidR="002E038E" w:rsidRPr="002E038E" w:rsidRDefault="002E038E">
      <w:pPr>
        <w:rPr>
          <w:rFonts w:asciiTheme="minorHAnsi" w:hAnsiTheme="minorHAnsi"/>
          <w:bCs/>
          <w:sz w:val="24"/>
        </w:rPr>
      </w:pPr>
      <w:r w:rsidRPr="002E038E">
        <w:rPr>
          <w:rFonts w:asciiTheme="minorHAnsi" w:hAnsiTheme="minorHAnsi"/>
          <w:b/>
          <w:bCs/>
          <w:sz w:val="24"/>
        </w:rPr>
        <w:t>[P]</w:t>
      </w:r>
      <w:r w:rsidRPr="002E038E">
        <w:rPr>
          <w:rFonts w:asciiTheme="minorHAnsi" w:hAnsiTheme="minorHAnsi"/>
          <w:bCs/>
          <w:sz w:val="24"/>
        </w:rPr>
        <w:t xml:space="preserve"> = included in the Purchasing Situation Index</w:t>
      </w:r>
    </w:p>
    <w:p w:rsidR="0070502B" w:rsidRPr="00A16353" w:rsidRDefault="0070502B">
      <w:pPr>
        <w:rPr>
          <w:rFonts w:asciiTheme="minorHAnsi" w:hAnsiTheme="minorHAnsi"/>
          <w:sz w:val="24"/>
        </w:rPr>
      </w:pPr>
    </w:p>
    <w:p w:rsidR="0070502B" w:rsidRPr="00A16353" w:rsidRDefault="002E038E" w:rsidP="009E29D4">
      <w:pPr>
        <w:numPr>
          <w:ilvl w:val="0"/>
          <w:numId w:val="1"/>
        </w:numPr>
        <w:jc w:val="both"/>
        <w:rPr>
          <w:rFonts w:asciiTheme="minorHAnsi" w:eastAsia="MS Mincho" w:hAnsiTheme="minorHAnsi"/>
          <w:sz w:val="22"/>
          <w:szCs w:val="22"/>
        </w:rPr>
      </w:pPr>
      <w:r w:rsidRPr="002E038E">
        <w:rPr>
          <w:rFonts w:asciiTheme="minorHAnsi" w:eastAsia="MS Mincho" w:hAnsiTheme="minorHAnsi"/>
          <w:b/>
          <w:sz w:val="22"/>
          <w:szCs w:val="22"/>
        </w:rPr>
        <w:t>[</w:t>
      </w:r>
      <w:r w:rsidR="00566943">
        <w:rPr>
          <w:rFonts w:asciiTheme="minorHAnsi" w:eastAsia="MS Mincho" w:hAnsiTheme="minorHAnsi"/>
          <w:b/>
          <w:sz w:val="22"/>
          <w:szCs w:val="22"/>
        </w:rPr>
        <w:t>C</w:t>
      </w:r>
      <w:r w:rsidRPr="002E038E">
        <w:rPr>
          <w:rFonts w:asciiTheme="minorHAnsi" w:eastAsia="MS Mincho" w:hAnsiTheme="minorHAnsi"/>
          <w:b/>
          <w:sz w:val="22"/>
          <w:szCs w:val="22"/>
        </w:rPr>
        <w:t>]</w:t>
      </w:r>
      <w:r>
        <w:rPr>
          <w:rFonts w:asciiTheme="minorHAnsi" w:eastAsia="MS Mincho" w:hAnsiTheme="minorHAnsi"/>
          <w:sz w:val="22"/>
          <w:szCs w:val="22"/>
        </w:rPr>
        <w:t xml:space="preserve"> </w:t>
      </w:r>
      <w:r w:rsidR="0070502B" w:rsidRPr="00A16353">
        <w:rPr>
          <w:rFonts w:asciiTheme="minorHAnsi" w:eastAsia="MS Mincho" w:hAnsiTheme="minorHAnsi"/>
          <w:sz w:val="22"/>
          <w:szCs w:val="22"/>
        </w:rPr>
        <w:t>Turning first to business conditions in the country as a whole, would you say that business conditions in the country as a whole are good, bad, or somewhere in between?</w:t>
      </w:r>
      <w:r>
        <w:rPr>
          <w:rFonts w:asciiTheme="minorHAnsi" w:eastAsia="MS Mincho" w:hAnsiTheme="minorHAnsi"/>
          <w:sz w:val="22"/>
          <w:szCs w:val="22"/>
        </w:rPr>
        <w:t xml:space="preserve"> </w:t>
      </w:r>
    </w:p>
    <w:p w:rsidR="0070502B" w:rsidRPr="00A16353" w:rsidRDefault="0070502B" w:rsidP="009E29D4">
      <w:pPr>
        <w:ind w:left="360"/>
        <w:jc w:val="both"/>
        <w:rPr>
          <w:rFonts w:asciiTheme="minorHAnsi" w:hAnsiTheme="minorHAnsi"/>
          <w:sz w:val="22"/>
          <w:szCs w:val="22"/>
        </w:rPr>
      </w:pPr>
    </w:p>
    <w:p w:rsidR="0070502B" w:rsidRPr="00A16353" w:rsidRDefault="002E038E" w:rsidP="009E29D4">
      <w:pPr>
        <w:numPr>
          <w:ilvl w:val="0"/>
          <w:numId w:val="1"/>
        </w:numPr>
        <w:jc w:val="both"/>
        <w:rPr>
          <w:rFonts w:asciiTheme="minorHAnsi" w:eastAsia="MS Mincho" w:hAnsiTheme="minorHAnsi"/>
          <w:sz w:val="22"/>
          <w:szCs w:val="22"/>
        </w:rPr>
      </w:pPr>
      <w:r w:rsidRPr="002E038E">
        <w:rPr>
          <w:rFonts w:asciiTheme="minorHAnsi" w:eastAsia="MS Mincho" w:hAnsiTheme="minorHAnsi"/>
          <w:b/>
          <w:sz w:val="22"/>
          <w:szCs w:val="22"/>
        </w:rPr>
        <w:t>[F]</w:t>
      </w:r>
      <w:r>
        <w:rPr>
          <w:rFonts w:asciiTheme="minorHAnsi" w:eastAsia="MS Mincho" w:hAnsiTheme="minorHAnsi"/>
          <w:sz w:val="22"/>
          <w:szCs w:val="22"/>
        </w:rPr>
        <w:t xml:space="preserve"> </w:t>
      </w:r>
      <w:r w:rsidR="0070502B" w:rsidRPr="00A16353">
        <w:rPr>
          <w:rFonts w:asciiTheme="minorHAnsi" w:eastAsia="MS Mincho" w:hAnsiTheme="minorHAnsi"/>
          <w:sz w:val="22"/>
          <w:szCs w:val="22"/>
        </w:rPr>
        <w:t>And how about 6 months from now, do you expect that in the country as a whole business conditions will be better than they are today, worse than they are today, or just about the same?</w:t>
      </w:r>
    </w:p>
    <w:p w:rsidR="0070502B" w:rsidRPr="00A16353" w:rsidRDefault="0070502B" w:rsidP="009E29D4">
      <w:pPr>
        <w:ind w:left="360"/>
        <w:jc w:val="both"/>
        <w:rPr>
          <w:rFonts w:asciiTheme="minorHAnsi" w:eastAsia="MS Mincho" w:hAnsiTheme="minorHAnsi"/>
          <w:sz w:val="22"/>
          <w:szCs w:val="22"/>
        </w:rPr>
      </w:pPr>
    </w:p>
    <w:p w:rsidR="0070502B" w:rsidRPr="00A16353" w:rsidRDefault="002E038E" w:rsidP="009E29D4">
      <w:pPr>
        <w:pStyle w:val="PlainText"/>
        <w:numPr>
          <w:ilvl w:val="0"/>
          <w:numId w:val="1"/>
        </w:numPr>
        <w:jc w:val="both"/>
        <w:rPr>
          <w:rFonts w:asciiTheme="minorHAnsi" w:eastAsia="MS Mincho" w:hAnsiTheme="minorHAnsi" w:cs="Times New Roman"/>
          <w:sz w:val="22"/>
          <w:szCs w:val="22"/>
        </w:rPr>
      </w:pPr>
      <w:r w:rsidRPr="002E038E">
        <w:rPr>
          <w:rFonts w:asciiTheme="minorHAnsi" w:eastAsia="MS Mincho" w:hAnsiTheme="minorHAnsi" w:cs="Times New Roman"/>
          <w:b/>
          <w:sz w:val="22"/>
          <w:szCs w:val="22"/>
        </w:rPr>
        <w:t>[</w:t>
      </w:r>
      <w:r w:rsidR="00566943">
        <w:rPr>
          <w:rFonts w:asciiTheme="minorHAnsi" w:eastAsia="MS Mincho" w:hAnsiTheme="minorHAnsi" w:cs="Times New Roman"/>
          <w:b/>
          <w:sz w:val="22"/>
          <w:szCs w:val="22"/>
        </w:rPr>
        <w:t>C</w:t>
      </w:r>
      <w:r w:rsidRPr="002E038E">
        <w:rPr>
          <w:rFonts w:asciiTheme="minorHAnsi" w:eastAsia="MS Mincho" w:hAnsiTheme="minorHAnsi" w:cs="Times New Roman"/>
          <w:b/>
          <w:sz w:val="22"/>
          <w:szCs w:val="22"/>
        </w:rPr>
        <w:t>]</w:t>
      </w:r>
      <w:r>
        <w:rPr>
          <w:rFonts w:asciiTheme="minorHAnsi" w:eastAsia="MS Mincho" w:hAnsiTheme="minorHAnsi" w:cs="Times New Roman"/>
          <w:sz w:val="22"/>
          <w:szCs w:val="22"/>
        </w:rPr>
        <w:t xml:space="preserve"> </w:t>
      </w:r>
      <w:r w:rsidR="0070502B" w:rsidRPr="00A16353">
        <w:rPr>
          <w:rFonts w:asciiTheme="minorHAnsi" w:eastAsia="MS Mincho" w:hAnsiTheme="minorHAnsi" w:cs="Times New Roman"/>
          <w:sz w:val="22"/>
          <w:szCs w:val="22"/>
        </w:rPr>
        <w:t>Now turning to business conditions in Middle Tennessee, would you say that business conditions in Middle Tennessee are good, bad, or somewhere in between?</w:t>
      </w:r>
    </w:p>
    <w:p w:rsidR="0070502B" w:rsidRPr="00A16353" w:rsidRDefault="0070502B" w:rsidP="009E29D4">
      <w:pPr>
        <w:pStyle w:val="PlainText"/>
        <w:ind w:left="360"/>
        <w:jc w:val="both"/>
        <w:rPr>
          <w:rFonts w:asciiTheme="minorHAnsi" w:eastAsia="MS Mincho" w:hAnsiTheme="minorHAnsi" w:cs="Times New Roman"/>
          <w:sz w:val="22"/>
          <w:szCs w:val="22"/>
        </w:rPr>
      </w:pPr>
    </w:p>
    <w:p w:rsidR="0070502B" w:rsidRPr="00A16353" w:rsidRDefault="002E038E" w:rsidP="009E29D4">
      <w:pPr>
        <w:pStyle w:val="PlainText"/>
        <w:numPr>
          <w:ilvl w:val="0"/>
          <w:numId w:val="1"/>
        </w:numPr>
        <w:jc w:val="both"/>
        <w:rPr>
          <w:rFonts w:asciiTheme="minorHAnsi" w:eastAsia="MS Mincho" w:hAnsiTheme="minorHAnsi" w:cs="Times New Roman"/>
          <w:sz w:val="22"/>
          <w:szCs w:val="22"/>
        </w:rPr>
      </w:pPr>
      <w:r w:rsidRPr="002E038E">
        <w:rPr>
          <w:rFonts w:asciiTheme="minorHAnsi" w:eastAsia="MS Mincho" w:hAnsiTheme="minorHAnsi" w:cs="Times New Roman"/>
          <w:b/>
          <w:sz w:val="22"/>
          <w:szCs w:val="22"/>
        </w:rPr>
        <w:t>[F]</w:t>
      </w:r>
      <w:r>
        <w:rPr>
          <w:rFonts w:asciiTheme="minorHAnsi" w:eastAsia="MS Mincho" w:hAnsiTheme="minorHAnsi" w:cs="Times New Roman"/>
          <w:sz w:val="22"/>
          <w:szCs w:val="22"/>
        </w:rPr>
        <w:t xml:space="preserve"> </w:t>
      </w:r>
      <w:r w:rsidR="0070502B" w:rsidRPr="00A16353">
        <w:rPr>
          <w:rFonts w:asciiTheme="minorHAnsi" w:eastAsia="MS Mincho" w:hAnsiTheme="minorHAnsi" w:cs="Times New Roman"/>
          <w:sz w:val="22"/>
          <w:szCs w:val="22"/>
        </w:rPr>
        <w:t>And how about 6 months from now, do you expect that in Middle Tennessee business conditions will be better than they are today, worse than they are today, or just about the same?</w:t>
      </w:r>
    </w:p>
    <w:p w:rsidR="0070502B" w:rsidRPr="00A16353" w:rsidRDefault="0070502B" w:rsidP="009E29D4">
      <w:pPr>
        <w:pStyle w:val="PlainText"/>
        <w:jc w:val="both"/>
        <w:rPr>
          <w:rFonts w:asciiTheme="minorHAnsi" w:eastAsia="MS Mincho" w:hAnsiTheme="minorHAnsi" w:cs="Times New Roman"/>
          <w:sz w:val="22"/>
          <w:szCs w:val="22"/>
        </w:rPr>
      </w:pPr>
    </w:p>
    <w:p w:rsidR="0070502B" w:rsidRPr="00A16353" w:rsidRDefault="002E038E" w:rsidP="009E29D4">
      <w:pPr>
        <w:pStyle w:val="PlainText"/>
        <w:numPr>
          <w:ilvl w:val="0"/>
          <w:numId w:val="1"/>
        </w:numPr>
        <w:jc w:val="both"/>
        <w:rPr>
          <w:rFonts w:asciiTheme="minorHAnsi" w:eastAsia="MS Mincho" w:hAnsiTheme="minorHAnsi" w:cs="Times New Roman"/>
          <w:sz w:val="22"/>
          <w:szCs w:val="22"/>
        </w:rPr>
      </w:pPr>
      <w:r w:rsidRPr="002E038E">
        <w:rPr>
          <w:rFonts w:asciiTheme="minorHAnsi" w:eastAsia="MS Mincho" w:hAnsiTheme="minorHAnsi" w:cs="Times New Roman"/>
          <w:b/>
          <w:sz w:val="22"/>
          <w:szCs w:val="22"/>
        </w:rPr>
        <w:t>[</w:t>
      </w:r>
      <w:r w:rsidR="00566943">
        <w:rPr>
          <w:rFonts w:asciiTheme="minorHAnsi" w:eastAsia="MS Mincho" w:hAnsiTheme="minorHAnsi" w:cs="Times New Roman"/>
          <w:b/>
          <w:sz w:val="22"/>
          <w:szCs w:val="22"/>
        </w:rPr>
        <w:t>C</w:t>
      </w:r>
      <w:r w:rsidRPr="002E038E">
        <w:rPr>
          <w:rFonts w:asciiTheme="minorHAnsi" w:eastAsia="MS Mincho" w:hAnsiTheme="minorHAnsi" w:cs="Times New Roman"/>
          <w:b/>
          <w:sz w:val="22"/>
          <w:szCs w:val="22"/>
        </w:rPr>
        <w:t>]</w:t>
      </w:r>
      <w:r>
        <w:rPr>
          <w:rFonts w:asciiTheme="minorHAnsi" w:eastAsia="MS Mincho" w:hAnsiTheme="minorHAnsi" w:cs="Times New Roman"/>
          <w:sz w:val="22"/>
          <w:szCs w:val="22"/>
        </w:rPr>
        <w:t xml:space="preserve"> </w:t>
      </w:r>
      <w:r w:rsidR="0070502B" w:rsidRPr="00A16353">
        <w:rPr>
          <w:rFonts w:asciiTheme="minorHAnsi" w:eastAsia="MS Mincho" w:hAnsiTheme="minorHAnsi" w:cs="Times New Roman"/>
          <w:sz w:val="22"/>
          <w:szCs w:val="22"/>
        </w:rPr>
        <w:t>Now turning to the availability of jobs in Middle Tennessee, would you say that jobs are easy to find, can be found with effort, or hard to find?</w:t>
      </w:r>
    </w:p>
    <w:p w:rsidR="0070502B" w:rsidRPr="00A16353" w:rsidRDefault="0070502B" w:rsidP="009E29D4">
      <w:pPr>
        <w:pStyle w:val="PlainText"/>
        <w:ind w:left="360"/>
        <w:jc w:val="both"/>
        <w:rPr>
          <w:rFonts w:asciiTheme="minorHAnsi" w:eastAsia="MS Mincho" w:hAnsiTheme="minorHAnsi" w:cs="Times New Roman"/>
          <w:sz w:val="22"/>
          <w:szCs w:val="22"/>
        </w:rPr>
      </w:pPr>
    </w:p>
    <w:p w:rsidR="0070502B" w:rsidRPr="00A16353" w:rsidRDefault="002E038E" w:rsidP="009E29D4">
      <w:pPr>
        <w:pStyle w:val="PlainText"/>
        <w:numPr>
          <w:ilvl w:val="0"/>
          <w:numId w:val="1"/>
        </w:numPr>
        <w:jc w:val="both"/>
        <w:rPr>
          <w:rFonts w:asciiTheme="minorHAnsi" w:eastAsia="MS Mincho" w:hAnsiTheme="minorHAnsi" w:cs="Times New Roman"/>
          <w:sz w:val="22"/>
          <w:szCs w:val="22"/>
        </w:rPr>
      </w:pPr>
      <w:r w:rsidRPr="002E038E">
        <w:rPr>
          <w:rFonts w:asciiTheme="minorHAnsi" w:eastAsia="MS Mincho" w:hAnsiTheme="minorHAnsi" w:cs="Times New Roman"/>
          <w:b/>
          <w:sz w:val="22"/>
          <w:szCs w:val="22"/>
        </w:rPr>
        <w:t>[F]</w:t>
      </w:r>
      <w:r>
        <w:rPr>
          <w:rFonts w:asciiTheme="minorHAnsi" w:eastAsia="MS Mincho" w:hAnsiTheme="minorHAnsi" w:cs="Times New Roman"/>
          <w:sz w:val="22"/>
          <w:szCs w:val="22"/>
        </w:rPr>
        <w:t xml:space="preserve"> </w:t>
      </w:r>
      <w:r w:rsidR="0070502B" w:rsidRPr="00A16353">
        <w:rPr>
          <w:rFonts w:asciiTheme="minorHAnsi" w:eastAsia="MS Mincho" w:hAnsiTheme="minorHAnsi" w:cs="Times New Roman"/>
          <w:sz w:val="22"/>
          <w:szCs w:val="22"/>
        </w:rPr>
        <w:t>How about in the next 6 months, do you expect that in Middle Tennessee there will be more job openings than there are now, fewer job openings than there are now, or about the same number of job openings?</w:t>
      </w:r>
    </w:p>
    <w:p w:rsidR="0070502B" w:rsidRPr="00A16353" w:rsidRDefault="0070502B" w:rsidP="009E29D4">
      <w:pPr>
        <w:pStyle w:val="PlainText"/>
        <w:jc w:val="both"/>
        <w:rPr>
          <w:rFonts w:asciiTheme="minorHAnsi" w:eastAsia="MS Mincho" w:hAnsiTheme="minorHAnsi" w:cs="Times New Roman"/>
          <w:sz w:val="22"/>
          <w:szCs w:val="22"/>
        </w:rPr>
      </w:pPr>
    </w:p>
    <w:p w:rsidR="0070502B" w:rsidRPr="00A16353" w:rsidRDefault="002E038E" w:rsidP="009E29D4">
      <w:pPr>
        <w:pStyle w:val="PlainText"/>
        <w:numPr>
          <w:ilvl w:val="0"/>
          <w:numId w:val="1"/>
        </w:numPr>
        <w:jc w:val="both"/>
        <w:rPr>
          <w:rFonts w:asciiTheme="minorHAnsi" w:eastAsia="MS Mincho" w:hAnsiTheme="minorHAnsi" w:cs="Times New Roman"/>
          <w:sz w:val="22"/>
          <w:szCs w:val="22"/>
        </w:rPr>
      </w:pPr>
      <w:r w:rsidRPr="002E038E">
        <w:rPr>
          <w:rFonts w:asciiTheme="minorHAnsi" w:eastAsia="MS Mincho" w:hAnsiTheme="minorHAnsi" w:cs="Times New Roman"/>
          <w:b/>
          <w:sz w:val="22"/>
          <w:szCs w:val="22"/>
        </w:rPr>
        <w:t>[</w:t>
      </w:r>
      <w:r w:rsidR="00566943">
        <w:rPr>
          <w:rFonts w:asciiTheme="minorHAnsi" w:eastAsia="MS Mincho" w:hAnsiTheme="minorHAnsi" w:cs="Times New Roman"/>
          <w:b/>
          <w:sz w:val="22"/>
          <w:szCs w:val="22"/>
        </w:rPr>
        <w:t>C</w:t>
      </w:r>
      <w:r w:rsidRPr="002E038E">
        <w:rPr>
          <w:rFonts w:asciiTheme="minorHAnsi" w:eastAsia="MS Mincho" w:hAnsiTheme="minorHAnsi" w:cs="Times New Roman"/>
          <w:b/>
          <w:sz w:val="22"/>
          <w:szCs w:val="22"/>
        </w:rPr>
        <w:t>]</w:t>
      </w:r>
      <w:r>
        <w:rPr>
          <w:rFonts w:asciiTheme="minorHAnsi" w:eastAsia="MS Mincho" w:hAnsiTheme="minorHAnsi" w:cs="Times New Roman"/>
          <w:sz w:val="22"/>
          <w:szCs w:val="22"/>
        </w:rPr>
        <w:t xml:space="preserve"> </w:t>
      </w:r>
      <w:r w:rsidR="0070502B" w:rsidRPr="00A16353">
        <w:rPr>
          <w:rFonts w:asciiTheme="minorHAnsi" w:eastAsia="MS Mincho" w:hAnsiTheme="minorHAnsi" w:cs="Times New Roman"/>
          <w:sz w:val="22"/>
          <w:szCs w:val="22"/>
        </w:rPr>
        <w:t>We are interested in how people are getting along financially these days.  Would you say that you, and any family members living with you, are better off financially than you were a year ago, worse off financially than you were a year ago, or about the same?</w:t>
      </w:r>
    </w:p>
    <w:p w:rsidR="0070502B" w:rsidRPr="00A16353" w:rsidRDefault="0070502B" w:rsidP="009E29D4">
      <w:pPr>
        <w:pStyle w:val="PlainText"/>
        <w:ind w:left="360"/>
        <w:jc w:val="both"/>
        <w:rPr>
          <w:rFonts w:asciiTheme="minorHAnsi" w:eastAsia="MS Mincho" w:hAnsiTheme="minorHAnsi" w:cs="Times New Roman"/>
          <w:sz w:val="22"/>
          <w:szCs w:val="22"/>
        </w:rPr>
      </w:pPr>
    </w:p>
    <w:p w:rsidR="0070502B" w:rsidRPr="00A16353" w:rsidRDefault="002E038E" w:rsidP="009E29D4">
      <w:pPr>
        <w:pStyle w:val="PlainText"/>
        <w:numPr>
          <w:ilvl w:val="0"/>
          <w:numId w:val="1"/>
        </w:numPr>
        <w:jc w:val="both"/>
        <w:rPr>
          <w:rFonts w:asciiTheme="minorHAnsi" w:eastAsia="MS Mincho" w:hAnsiTheme="minorHAnsi" w:cs="Times New Roman"/>
          <w:sz w:val="22"/>
          <w:szCs w:val="22"/>
        </w:rPr>
      </w:pPr>
      <w:r w:rsidRPr="002E038E">
        <w:rPr>
          <w:rFonts w:asciiTheme="minorHAnsi" w:eastAsia="MS Mincho" w:hAnsiTheme="minorHAnsi" w:cs="Times New Roman"/>
          <w:b/>
          <w:sz w:val="22"/>
          <w:szCs w:val="22"/>
        </w:rPr>
        <w:t>[F]</w:t>
      </w:r>
      <w:r>
        <w:rPr>
          <w:rFonts w:asciiTheme="minorHAnsi" w:eastAsia="MS Mincho" w:hAnsiTheme="minorHAnsi" w:cs="Times New Roman"/>
          <w:sz w:val="22"/>
          <w:szCs w:val="22"/>
        </w:rPr>
        <w:t xml:space="preserve"> </w:t>
      </w:r>
      <w:r w:rsidR="0070502B" w:rsidRPr="00A16353">
        <w:rPr>
          <w:rFonts w:asciiTheme="minorHAnsi" w:eastAsia="MS Mincho" w:hAnsiTheme="minorHAnsi" w:cs="Times New Roman"/>
          <w:sz w:val="22"/>
          <w:szCs w:val="22"/>
        </w:rPr>
        <w:t>Now looking ahead, do you think that 12 months from now you, and any family members living with you, will be better off financially, worse off financially, or about the same?</w:t>
      </w:r>
    </w:p>
    <w:p w:rsidR="0070502B" w:rsidRPr="00A16353" w:rsidRDefault="0070502B" w:rsidP="009E29D4">
      <w:pPr>
        <w:pStyle w:val="PlainText"/>
        <w:jc w:val="both"/>
        <w:rPr>
          <w:rFonts w:asciiTheme="minorHAnsi" w:eastAsia="MS Mincho" w:hAnsiTheme="minorHAnsi" w:cs="Times New Roman"/>
          <w:sz w:val="22"/>
          <w:szCs w:val="22"/>
        </w:rPr>
      </w:pPr>
    </w:p>
    <w:p w:rsidR="0070502B" w:rsidRPr="00A16353" w:rsidRDefault="002E038E" w:rsidP="009E29D4">
      <w:pPr>
        <w:pStyle w:val="PlainText"/>
        <w:numPr>
          <w:ilvl w:val="0"/>
          <w:numId w:val="1"/>
        </w:numPr>
        <w:jc w:val="both"/>
        <w:rPr>
          <w:rFonts w:asciiTheme="minorHAnsi" w:eastAsia="MS Mincho" w:hAnsiTheme="minorHAnsi" w:cs="Times New Roman"/>
          <w:sz w:val="22"/>
          <w:szCs w:val="22"/>
        </w:rPr>
      </w:pPr>
      <w:r w:rsidRPr="002E038E">
        <w:rPr>
          <w:rFonts w:asciiTheme="minorHAnsi" w:eastAsia="MS Mincho" w:hAnsiTheme="minorHAnsi" w:cs="Times New Roman"/>
          <w:b/>
          <w:sz w:val="22"/>
          <w:szCs w:val="22"/>
        </w:rPr>
        <w:t>[P]</w:t>
      </w:r>
      <w:r>
        <w:rPr>
          <w:rFonts w:asciiTheme="minorHAnsi" w:eastAsia="MS Mincho" w:hAnsiTheme="minorHAnsi" w:cs="Times New Roman"/>
          <w:sz w:val="22"/>
          <w:szCs w:val="22"/>
        </w:rPr>
        <w:t xml:space="preserve"> </w:t>
      </w:r>
      <w:r w:rsidR="0070502B" w:rsidRPr="00A16353">
        <w:rPr>
          <w:rFonts w:asciiTheme="minorHAnsi" w:eastAsia="MS Mincho" w:hAnsiTheme="minorHAnsi" w:cs="Times New Roman"/>
          <w:sz w:val="22"/>
          <w:szCs w:val="22"/>
        </w:rPr>
        <w:t>About the big things people buy for their homes -- such as furniture, a refrigerator, stove, television, and things like that, generally speaking, do you think now is a good time for people to buy major household items, a bad time, or somewhere in between?</w:t>
      </w:r>
    </w:p>
    <w:p w:rsidR="0070502B" w:rsidRPr="00A16353" w:rsidRDefault="0070502B" w:rsidP="009E29D4">
      <w:pPr>
        <w:pStyle w:val="PlainText"/>
        <w:ind w:left="360"/>
        <w:jc w:val="both"/>
        <w:rPr>
          <w:rFonts w:asciiTheme="minorHAnsi" w:eastAsia="MS Mincho" w:hAnsiTheme="minorHAnsi" w:cs="Times New Roman"/>
          <w:sz w:val="22"/>
          <w:szCs w:val="22"/>
        </w:rPr>
      </w:pPr>
    </w:p>
    <w:p w:rsidR="0070502B" w:rsidRPr="00A16353" w:rsidRDefault="002E038E" w:rsidP="009E29D4">
      <w:pPr>
        <w:pStyle w:val="PlainText"/>
        <w:numPr>
          <w:ilvl w:val="0"/>
          <w:numId w:val="1"/>
        </w:numPr>
        <w:jc w:val="both"/>
        <w:rPr>
          <w:rFonts w:asciiTheme="minorHAnsi" w:eastAsia="MS Mincho" w:hAnsiTheme="minorHAnsi" w:cs="Times New Roman"/>
          <w:sz w:val="22"/>
          <w:szCs w:val="22"/>
        </w:rPr>
      </w:pPr>
      <w:r w:rsidRPr="002E038E">
        <w:rPr>
          <w:rFonts w:asciiTheme="minorHAnsi" w:eastAsia="MS Mincho" w:hAnsiTheme="minorHAnsi" w:cs="Times New Roman"/>
          <w:b/>
          <w:sz w:val="22"/>
          <w:szCs w:val="22"/>
        </w:rPr>
        <w:t>[P]</w:t>
      </w:r>
      <w:r>
        <w:rPr>
          <w:rFonts w:asciiTheme="minorHAnsi" w:eastAsia="MS Mincho" w:hAnsiTheme="minorHAnsi" w:cs="Times New Roman"/>
          <w:sz w:val="22"/>
          <w:szCs w:val="22"/>
        </w:rPr>
        <w:t xml:space="preserve"> </w:t>
      </w:r>
      <w:r w:rsidR="0070502B" w:rsidRPr="00A16353">
        <w:rPr>
          <w:rFonts w:asciiTheme="minorHAnsi" w:eastAsia="MS Mincho" w:hAnsiTheme="minorHAnsi" w:cs="Times New Roman"/>
          <w:sz w:val="22"/>
          <w:szCs w:val="22"/>
        </w:rPr>
        <w:t>How about buying a house?  Is now a good time to buy a house, a bad time to buy a house, or somewhere in between?</w:t>
      </w:r>
    </w:p>
    <w:p w:rsidR="0070502B" w:rsidRPr="00A16353" w:rsidRDefault="0070502B" w:rsidP="009E29D4">
      <w:pPr>
        <w:pStyle w:val="PlainText"/>
        <w:ind w:left="360"/>
        <w:jc w:val="both"/>
        <w:rPr>
          <w:rFonts w:asciiTheme="minorHAnsi" w:eastAsia="MS Mincho" w:hAnsiTheme="minorHAnsi" w:cs="Times New Roman"/>
          <w:sz w:val="22"/>
          <w:szCs w:val="22"/>
        </w:rPr>
      </w:pPr>
    </w:p>
    <w:p w:rsidR="000C3180" w:rsidRPr="00A16353" w:rsidRDefault="0070502B" w:rsidP="00F9126F">
      <w:pPr>
        <w:pStyle w:val="PlainText"/>
        <w:ind w:left="720" w:hanging="360"/>
        <w:jc w:val="both"/>
        <w:rPr>
          <w:rFonts w:asciiTheme="minorHAnsi" w:eastAsia="MS Mincho" w:hAnsiTheme="minorHAnsi" w:cs="Times New Roman"/>
          <w:sz w:val="22"/>
          <w:szCs w:val="22"/>
        </w:rPr>
      </w:pPr>
      <w:r w:rsidRPr="00A16353">
        <w:rPr>
          <w:rFonts w:asciiTheme="minorHAnsi" w:eastAsia="MS Mincho" w:hAnsiTheme="minorHAnsi" w:cs="Times New Roman"/>
          <w:sz w:val="22"/>
          <w:szCs w:val="22"/>
        </w:rPr>
        <w:t xml:space="preserve">11. </w:t>
      </w:r>
      <w:r w:rsidR="002E038E" w:rsidRPr="002E038E">
        <w:rPr>
          <w:rFonts w:asciiTheme="minorHAnsi" w:eastAsia="MS Mincho" w:hAnsiTheme="minorHAnsi" w:cs="Times New Roman"/>
          <w:b/>
          <w:sz w:val="22"/>
          <w:szCs w:val="22"/>
        </w:rPr>
        <w:t>[P]</w:t>
      </w:r>
      <w:r w:rsidR="002E038E">
        <w:rPr>
          <w:rFonts w:asciiTheme="minorHAnsi" w:eastAsia="MS Mincho" w:hAnsiTheme="minorHAnsi" w:cs="Times New Roman"/>
          <w:sz w:val="22"/>
          <w:szCs w:val="22"/>
        </w:rPr>
        <w:t xml:space="preserve"> </w:t>
      </w:r>
      <w:r w:rsidRPr="00A16353">
        <w:rPr>
          <w:rFonts w:asciiTheme="minorHAnsi" w:eastAsia="MS Mincho" w:hAnsiTheme="minorHAnsi" w:cs="Times New Roman"/>
          <w:sz w:val="22"/>
          <w:szCs w:val="22"/>
        </w:rPr>
        <w:t>How about buying a car?  Is now a good time to buy a car, a bad time to buy a car, or somewhere in between?</w:t>
      </w:r>
    </w:p>
    <w:p w:rsidR="008F3A00" w:rsidRDefault="008F3A00" w:rsidP="00497900">
      <w:pPr>
        <w:rPr>
          <w:rFonts w:eastAsia="MS Mincho"/>
        </w:rPr>
      </w:pPr>
    </w:p>
    <w:p w:rsidR="008F3A00" w:rsidRDefault="008F3A00" w:rsidP="00497900">
      <w:pPr>
        <w:rPr>
          <w:rFonts w:eastAsia="MS Mincho"/>
        </w:rPr>
      </w:pPr>
    </w:p>
    <w:p w:rsidR="00492AE3" w:rsidRDefault="00492AE3" w:rsidP="00497900">
      <w:pPr>
        <w:rPr>
          <w:rFonts w:eastAsia="MS Mincho"/>
        </w:rPr>
        <w:sectPr w:rsidR="00492AE3" w:rsidSect="00ED7F2F">
          <w:headerReference w:type="default" r:id="rId19"/>
          <w:footerReference w:type="even" r:id="rId20"/>
          <w:footerReference w:type="default" r:id="rId21"/>
          <w:pgSz w:w="12240" w:h="15840"/>
          <w:pgMar w:top="1296" w:right="1800" w:bottom="1152" w:left="1800" w:header="720" w:footer="720" w:gutter="0"/>
          <w:cols w:space="720"/>
          <w:docGrid w:linePitch="360"/>
        </w:sectPr>
      </w:pPr>
    </w:p>
    <w:p w:rsidR="008F3A00" w:rsidRPr="00606606" w:rsidRDefault="00B06511" w:rsidP="00B06511">
      <w:pPr>
        <w:jc w:val="center"/>
        <w:rPr>
          <w:rFonts w:asciiTheme="minorHAnsi" w:eastAsia="MS Mincho" w:hAnsiTheme="minorHAnsi"/>
          <w:b/>
          <w:sz w:val="36"/>
          <w:szCs w:val="36"/>
        </w:rPr>
      </w:pPr>
      <w:r w:rsidRPr="00606606">
        <w:rPr>
          <w:rFonts w:asciiTheme="minorHAnsi" w:eastAsia="MS Mincho" w:hAnsiTheme="minorHAnsi"/>
          <w:b/>
          <w:sz w:val="36"/>
          <w:szCs w:val="36"/>
        </w:rPr>
        <w:lastRenderedPageBreak/>
        <w:t xml:space="preserve">Middle Tennessee Consumer </w:t>
      </w:r>
      <w:r w:rsidR="00A07B8D">
        <w:rPr>
          <w:rFonts w:asciiTheme="minorHAnsi" w:eastAsia="MS Mincho" w:hAnsiTheme="minorHAnsi"/>
          <w:b/>
          <w:sz w:val="36"/>
          <w:szCs w:val="36"/>
        </w:rPr>
        <w:t>Outlook</w:t>
      </w:r>
      <w:r w:rsidRPr="00606606">
        <w:rPr>
          <w:rFonts w:asciiTheme="minorHAnsi" w:eastAsia="MS Mincho" w:hAnsiTheme="minorHAnsi"/>
          <w:b/>
          <w:sz w:val="36"/>
          <w:szCs w:val="36"/>
        </w:rPr>
        <w:t xml:space="preserve"> Index</w:t>
      </w:r>
    </w:p>
    <w:p w:rsidR="008F3A00" w:rsidRDefault="008F3A00" w:rsidP="00497900">
      <w:pPr>
        <w:rPr>
          <w:rFonts w:eastAsia="MS Mincho"/>
        </w:rPr>
      </w:pPr>
    </w:p>
    <w:p w:rsidR="008F3A00" w:rsidRDefault="008F3A00" w:rsidP="00497900">
      <w:pPr>
        <w:rPr>
          <w:rFonts w:eastAsia="MS Mincho"/>
        </w:rPr>
      </w:pPr>
    </w:p>
    <w:p w:rsidR="00497900" w:rsidRDefault="000B083F" w:rsidP="00606606">
      <w:pPr>
        <w:jc w:val="center"/>
        <w:rPr>
          <w:rFonts w:eastAsia="MS Mincho"/>
        </w:rPr>
      </w:pPr>
      <w:r>
        <w:rPr>
          <w:rFonts w:eastAsia="MS Mincho"/>
          <w:noProof/>
        </w:rPr>
        <w:drawing>
          <wp:inline distT="0" distB="0" distL="0" distR="0">
            <wp:extent cx="8489950" cy="4711700"/>
            <wp:effectExtent l="0" t="0" r="63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sectPr w:rsidR="00497900" w:rsidSect="00B06511">
      <w:pgSz w:w="15840" w:h="12240" w:orient="landscape"/>
      <w:pgMar w:top="1800" w:right="1296" w:bottom="180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FE1" w:rsidRDefault="008F4FE1">
      <w:r>
        <w:separator/>
      </w:r>
    </w:p>
  </w:endnote>
  <w:endnote w:type="continuationSeparator" w:id="0">
    <w:p w:rsidR="008F4FE1" w:rsidRDefault="008F4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1CB" w:rsidRDefault="001041CB" w:rsidP="00177D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41CB" w:rsidRDefault="001041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18"/>
      <w:gridCol w:w="7938"/>
    </w:tblGrid>
    <w:tr w:rsidR="001041CB">
      <w:tc>
        <w:tcPr>
          <w:tcW w:w="918" w:type="dxa"/>
        </w:tcPr>
        <w:p w:rsidR="001041CB" w:rsidRDefault="001041CB">
          <w:pPr>
            <w:pStyle w:val="Footer"/>
            <w:jc w:val="right"/>
            <w:rPr>
              <w:b/>
              <w:color w:val="4F81BD" w:themeColor="accent1"/>
              <w:sz w:val="32"/>
              <w:szCs w:val="32"/>
            </w:rPr>
          </w:pPr>
          <w:r>
            <w:fldChar w:fldCharType="begin"/>
          </w:r>
          <w:r>
            <w:instrText xml:space="preserve"> PAGE   \* MERGEFORMAT </w:instrText>
          </w:r>
          <w:r>
            <w:fldChar w:fldCharType="separate"/>
          </w:r>
          <w:r w:rsidR="00D93BE6" w:rsidRPr="00D93BE6">
            <w:rPr>
              <w:b/>
              <w:noProof/>
              <w:color w:val="4F81BD" w:themeColor="accent1"/>
              <w:sz w:val="32"/>
              <w:szCs w:val="32"/>
            </w:rPr>
            <w:t>7</w:t>
          </w:r>
          <w:r>
            <w:rPr>
              <w:b/>
              <w:noProof/>
              <w:color w:val="4F81BD" w:themeColor="accent1"/>
              <w:sz w:val="32"/>
              <w:szCs w:val="32"/>
            </w:rPr>
            <w:fldChar w:fldCharType="end"/>
          </w:r>
        </w:p>
      </w:tc>
      <w:tc>
        <w:tcPr>
          <w:tcW w:w="7938" w:type="dxa"/>
        </w:tcPr>
        <w:p w:rsidR="001041CB" w:rsidRPr="00EB2F31" w:rsidRDefault="001041CB" w:rsidP="00182CC7">
          <w:pPr>
            <w:pStyle w:val="Footer"/>
            <w:rPr>
              <w:rFonts w:asciiTheme="minorHAnsi" w:hAnsiTheme="minorHAnsi"/>
            </w:rPr>
          </w:pPr>
          <w:r w:rsidRPr="00EB2F31">
            <w:rPr>
              <w:rFonts w:asciiTheme="minorHAnsi" w:hAnsiTheme="minorHAnsi"/>
            </w:rPr>
            <w:t xml:space="preserve">Office of Consumer Research, Middle Tennessee State University: </w:t>
          </w:r>
          <w:r w:rsidRPr="00EB2F31">
            <w:rPr>
              <w:rFonts w:asciiTheme="minorHAnsi" w:hAnsiTheme="minorHAnsi"/>
              <w:u w:val="single"/>
            </w:rPr>
            <w:t>www.mtsu.edu/consumer</w:t>
          </w:r>
        </w:p>
      </w:tc>
    </w:tr>
  </w:tbl>
  <w:p w:rsidR="001041CB" w:rsidRDefault="001041CB" w:rsidP="00E177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FE1" w:rsidRDefault="008F4FE1">
      <w:r>
        <w:separator/>
      </w:r>
    </w:p>
  </w:footnote>
  <w:footnote w:type="continuationSeparator" w:id="0">
    <w:p w:rsidR="008F4FE1" w:rsidRDefault="008F4FE1">
      <w:r>
        <w:continuationSeparator/>
      </w:r>
    </w:p>
  </w:footnote>
  <w:footnote w:id="1">
    <w:p w:rsidR="001041CB" w:rsidRDefault="001041CB" w:rsidP="00140EF4">
      <w:pPr>
        <w:pStyle w:val="FootnoteText"/>
        <w:rPr>
          <w:rFonts w:asciiTheme="minorHAnsi" w:hAnsiTheme="minorHAnsi"/>
        </w:rPr>
      </w:pPr>
      <w:r w:rsidRPr="00A16353">
        <w:rPr>
          <w:rStyle w:val="FootnoteReference"/>
          <w:rFonts w:asciiTheme="minorHAnsi" w:hAnsiTheme="minorHAnsi"/>
        </w:rPr>
        <w:footnoteRef/>
      </w:r>
      <w:r w:rsidRPr="00A16353">
        <w:rPr>
          <w:rFonts w:asciiTheme="minorHAnsi" w:hAnsiTheme="minorHAnsi"/>
        </w:rPr>
        <w:t xml:space="preserve"> The score is computed by adding the percentage of favorable responses to each question and </w:t>
      </w:r>
      <w:r>
        <w:rPr>
          <w:rFonts w:asciiTheme="minorHAnsi" w:hAnsiTheme="minorHAnsi"/>
        </w:rPr>
        <w:t>s</w:t>
      </w:r>
      <w:r w:rsidRPr="00A16353">
        <w:rPr>
          <w:rFonts w:asciiTheme="minorHAnsi" w:hAnsiTheme="minorHAnsi"/>
        </w:rPr>
        <w:t xml:space="preserve">ubtracting the percentage of negative responses to each question.  </w:t>
      </w:r>
    </w:p>
    <w:p w:rsidR="001041CB" w:rsidRPr="00A16353" w:rsidRDefault="001041CB" w:rsidP="00140EF4">
      <w:pPr>
        <w:pStyle w:val="FootnoteText"/>
        <w:rPr>
          <w:rFonts w:asciiTheme="minorHAnsi" w:hAnsiTheme="minorHAnsi"/>
        </w:rPr>
      </w:pPr>
    </w:p>
  </w:footnote>
  <w:footnote w:id="2">
    <w:p w:rsidR="001041CB" w:rsidRDefault="001041CB" w:rsidP="00D51D6B">
      <w:pPr>
        <w:pStyle w:val="FootnoteText"/>
        <w:rPr>
          <w:rFonts w:asciiTheme="minorHAnsi" w:hAnsiTheme="minorHAnsi"/>
        </w:rPr>
      </w:pPr>
      <w:r w:rsidRPr="00A16353">
        <w:rPr>
          <w:rStyle w:val="FootnoteReference"/>
          <w:rFonts w:asciiTheme="minorHAnsi" w:hAnsiTheme="minorHAnsi"/>
        </w:rPr>
        <w:footnoteRef/>
      </w:r>
      <w:r w:rsidRPr="00A16353">
        <w:rPr>
          <w:rFonts w:asciiTheme="minorHAnsi" w:hAnsiTheme="minorHAnsi"/>
        </w:rPr>
        <w:t xml:space="preserve"> Source: </w:t>
      </w:r>
      <w:r>
        <w:rPr>
          <w:rFonts w:asciiTheme="minorHAnsi" w:hAnsiTheme="minorHAnsi"/>
        </w:rPr>
        <w:t>April 24, 2012, “The Conference Board Consumer Confidence Index</w:t>
      </w:r>
      <w:r>
        <w:rPr>
          <w:rFonts w:asciiTheme="minorHAnsi" w:hAnsiTheme="minorHAnsi" w:cstheme="minorHAnsi"/>
        </w:rPr>
        <w:t>®</w:t>
      </w:r>
      <w:r>
        <w:rPr>
          <w:rFonts w:asciiTheme="minorHAnsi" w:hAnsiTheme="minorHAnsi"/>
        </w:rPr>
        <w:t xml:space="preserve"> Virtually Unchanged,” </w:t>
      </w:r>
      <w:r w:rsidRPr="00A16353">
        <w:rPr>
          <w:rFonts w:asciiTheme="minorHAnsi" w:hAnsiTheme="minorHAnsi"/>
        </w:rPr>
        <w:t>(</w:t>
      </w:r>
      <w:hyperlink r:id="rId1" w:history="1">
        <w:r w:rsidRPr="00A16353">
          <w:rPr>
            <w:rStyle w:val="Hyperlink"/>
            <w:rFonts w:asciiTheme="minorHAnsi" w:hAnsiTheme="minorHAnsi"/>
          </w:rPr>
          <w:t>www.conference-board.org</w:t>
        </w:r>
      </w:hyperlink>
      <w:r w:rsidRPr="00A16353">
        <w:rPr>
          <w:rFonts w:asciiTheme="minorHAnsi" w:hAnsiTheme="minorHAnsi"/>
        </w:rPr>
        <w:t xml:space="preserve">).   The next consumer confidence report from The Conference Board is scheduled for </w:t>
      </w:r>
      <w:r>
        <w:rPr>
          <w:rFonts w:asciiTheme="minorHAnsi" w:hAnsiTheme="minorHAnsi"/>
        </w:rPr>
        <w:t>Tuesday, May 29</w:t>
      </w:r>
      <w:r w:rsidRPr="00A16353">
        <w:rPr>
          <w:rFonts w:asciiTheme="minorHAnsi" w:hAnsiTheme="minorHAnsi"/>
        </w:rPr>
        <w:t>.</w:t>
      </w:r>
    </w:p>
    <w:p w:rsidR="001041CB" w:rsidRPr="00A16353" w:rsidRDefault="001041CB" w:rsidP="00D51D6B">
      <w:pPr>
        <w:pStyle w:val="FootnoteText"/>
        <w:rPr>
          <w:rFonts w:asciiTheme="minorHAnsi" w:hAnsiTheme="min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6955"/>
      <w:gridCol w:w="1915"/>
    </w:tblGrid>
    <w:tr w:rsidR="001041CB" w:rsidTr="00182CC7">
      <w:trPr>
        <w:trHeight w:val="288"/>
      </w:trPr>
      <w:tc>
        <w:tcPr>
          <w:tcW w:w="6955" w:type="dxa"/>
        </w:tcPr>
        <w:p w:rsidR="001041CB" w:rsidRPr="00EB2F31" w:rsidRDefault="001041CB" w:rsidP="00642AE7">
          <w:pPr>
            <w:pStyle w:val="Header"/>
            <w:jc w:val="right"/>
            <w:rPr>
              <w:rFonts w:asciiTheme="majorHAnsi" w:eastAsiaTheme="majorEastAsia" w:hAnsiTheme="majorHAnsi" w:cstheme="majorBidi"/>
              <w:sz w:val="24"/>
              <w:szCs w:val="24"/>
            </w:rPr>
          </w:pPr>
          <w:r w:rsidRPr="00EB2F31">
            <w:rPr>
              <w:rFonts w:asciiTheme="minorHAnsi" w:eastAsiaTheme="majorEastAsia" w:hAnsiTheme="minorHAnsi" w:cstheme="majorBidi"/>
            </w:rPr>
            <w:t xml:space="preserve">Middle Tennessee Consumer </w:t>
          </w:r>
          <w:r>
            <w:rPr>
              <w:rFonts w:asciiTheme="minorHAnsi" w:eastAsiaTheme="majorEastAsia" w:hAnsiTheme="minorHAnsi" w:cstheme="majorBidi"/>
            </w:rPr>
            <w:t xml:space="preserve">Outlook </w:t>
          </w:r>
          <w:r w:rsidRPr="00EB2F31">
            <w:rPr>
              <w:rFonts w:asciiTheme="minorHAnsi" w:eastAsiaTheme="majorEastAsia" w:hAnsiTheme="minorHAnsi" w:cstheme="majorBidi"/>
            </w:rPr>
            <w:t xml:space="preserve">Index     </w:t>
          </w:r>
          <w:r>
            <w:rPr>
              <w:rFonts w:asciiTheme="minorHAnsi" w:eastAsiaTheme="majorEastAsia" w:hAnsiTheme="minorHAnsi" w:cstheme="majorBidi"/>
            </w:rPr>
            <w:t xml:space="preserve">April </w:t>
          </w:r>
        </w:p>
      </w:tc>
      <w:tc>
        <w:tcPr>
          <w:tcW w:w="1915" w:type="dxa"/>
        </w:tcPr>
        <w:p w:rsidR="001041CB" w:rsidRPr="00EB2F31" w:rsidRDefault="001041CB" w:rsidP="0022136E">
          <w:pPr>
            <w:pStyle w:val="Header"/>
            <w:rPr>
              <w:rFonts w:asciiTheme="majorHAnsi" w:eastAsiaTheme="majorEastAsia" w:hAnsiTheme="majorHAnsi" w:cstheme="majorBidi"/>
              <w:b/>
              <w:bCs/>
            </w:rPr>
          </w:pPr>
          <w:r w:rsidRPr="00EB2F31">
            <w:rPr>
              <w:rFonts w:asciiTheme="minorHAnsi" w:eastAsiaTheme="majorEastAsia" w:hAnsiTheme="minorHAnsi" w:cstheme="majorBidi"/>
              <w:b/>
              <w:bCs/>
            </w:rPr>
            <w:t>201</w:t>
          </w:r>
          <w:r>
            <w:rPr>
              <w:rFonts w:asciiTheme="minorHAnsi" w:eastAsiaTheme="majorEastAsia" w:hAnsiTheme="minorHAnsi" w:cstheme="majorBidi"/>
              <w:b/>
              <w:bCs/>
            </w:rPr>
            <w:t>2</w:t>
          </w:r>
        </w:p>
      </w:tc>
    </w:tr>
  </w:tbl>
  <w:p w:rsidR="001041CB" w:rsidRDefault="001041CB" w:rsidP="00E1772C">
    <w:pPr>
      <w:pStyle w:val="Header"/>
      <w:jc w:val="center"/>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064"/>
    <w:multiLevelType w:val="hybridMultilevel"/>
    <w:tmpl w:val="009E1BF2"/>
    <w:lvl w:ilvl="0" w:tplc="2B8E4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6426DA"/>
    <w:multiLevelType w:val="hybridMultilevel"/>
    <w:tmpl w:val="44221A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072311"/>
    <w:multiLevelType w:val="hybridMultilevel"/>
    <w:tmpl w:val="0FE06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D96488"/>
    <w:multiLevelType w:val="hybridMultilevel"/>
    <w:tmpl w:val="0424485E"/>
    <w:lvl w:ilvl="0" w:tplc="3D8215D0">
      <w:start w:val="1"/>
      <w:numFmt w:val="bullet"/>
      <w:lvlText w:val=""/>
      <w:lvlJc w:val="left"/>
      <w:pPr>
        <w:tabs>
          <w:tab w:val="num" w:pos="432"/>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EF2228"/>
    <w:multiLevelType w:val="hybridMultilevel"/>
    <w:tmpl w:val="21005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594"/>
    <w:rsid w:val="000007A5"/>
    <w:rsid w:val="00000F4F"/>
    <w:rsid w:val="00003A2D"/>
    <w:rsid w:val="000040E0"/>
    <w:rsid w:val="000072AD"/>
    <w:rsid w:val="00011F2B"/>
    <w:rsid w:val="00012DA4"/>
    <w:rsid w:val="0001315C"/>
    <w:rsid w:val="000150C9"/>
    <w:rsid w:val="0002229B"/>
    <w:rsid w:val="000227B0"/>
    <w:rsid w:val="00025EB6"/>
    <w:rsid w:val="000261F7"/>
    <w:rsid w:val="00031593"/>
    <w:rsid w:val="00033A45"/>
    <w:rsid w:val="0003400E"/>
    <w:rsid w:val="00036116"/>
    <w:rsid w:val="000371C0"/>
    <w:rsid w:val="00042E6D"/>
    <w:rsid w:val="000463D3"/>
    <w:rsid w:val="0005599C"/>
    <w:rsid w:val="00055B65"/>
    <w:rsid w:val="00056DC6"/>
    <w:rsid w:val="000570D2"/>
    <w:rsid w:val="00057F34"/>
    <w:rsid w:val="00060E48"/>
    <w:rsid w:val="00061B06"/>
    <w:rsid w:val="00067D56"/>
    <w:rsid w:val="00071D4A"/>
    <w:rsid w:val="00072761"/>
    <w:rsid w:val="00073B05"/>
    <w:rsid w:val="00075D28"/>
    <w:rsid w:val="0007741E"/>
    <w:rsid w:val="00077997"/>
    <w:rsid w:val="00081507"/>
    <w:rsid w:val="000824E1"/>
    <w:rsid w:val="0008282D"/>
    <w:rsid w:val="00082E56"/>
    <w:rsid w:val="0009131D"/>
    <w:rsid w:val="00091F2E"/>
    <w:rsid w:val="00092E33"/>
    <w:rsid w:val="0009562A"/>
    <w:rsid w:val="00096506"/>
    <w:rsid w:val="000A12F3"/>
    <w:rsid w:val="000A1496"/>
    <w:rsid w:val="000B083F"/>
    <w:rsid w:val="000B1534"/>
    <w:rsid w:val="000B497B"/>
    <w:rsid w:val="000B4B84"/>
    <w:rsid w:val="000B4FBA"/>
    <w:rsid w:val="000B5FFA"/>
    <w:rsid w:val="000C3180"/>
    <w:rsid w:val="000C44B8"/>
    <w:rsid w:val="000C5247"/>
    <w:rsid w:val="000C7BA4"/>
    <w:rsid w:val="000D09DE"/>
    <w:rsid w:val="000D419E"/>
    <w:rsid w:val="000E2219"/>
    <w:rsid w:val="000E2578"/>
    <w:rsid w:val="000E34D4"/>
    <w:rsid w:val="000E3961"/>
    <w:rsid w:val="000E4447"/>
    <w:rsid w:val="000E5D29"/>
    <w:rsid w:val="000F047A"/>
    <w:rsid w:val="000F0990"/>
    <w:rsid w:val="000F2607"/>
    <w:rsid w:val="000F2E3D"/>
    <w:rsid w:val="000F3231"/>
    <w:rsid w:val="000F3DEC"/>
    <w:rsid w:val="000F4DBF"/>
    <w:rsid w:val="00101043"/>
    <w:rsid w:val="001029A1"/>
    <w:rsid w:val="001041CB"/>
    <w:rsid w:val="0010485D"/>
    <w:rsid w:val="00104CC5"/>
    <w:rsid w:val="00104F9F"/>
    <w:rsid w:val="00105183"/>
    <w:rsid w:val="00105937"/>
    <w:rsid w:val="00106BB1"/>
    <w:rsid w:val="00107B80"/>
    <w:rsid w:val="00112E8B"/>
    <w:rsid w:val="00113876"/>
    <w:rsid w:val="001142CF"/>
    <w:rsid w:val="00114F5D"/>
    <w:rsid w:val="00115386"/>
    <w:rsid w:val="00116738"/>
    <w:rsid w:val="001168FE"/>
    <w:rsid w:val="00116C15"/>
    <w:rsid w:val="00125541"/>
    <w:rsid w:val="001260DC"/>
    <w:rsid w:val="001266DE"/>
    <w:rsid w:val="00127E7A"/>
    <w:rsid w:val="00135090"/>
    <w:rsid w:val="00135989"/>
    <w:rsid w:val="00140EF4"/>
    <w:rsid w:val="00141231"/>
    <w:rsid w:val="001417F1"/>
    <w:rsid w:val="00145A12"/>
    <w:rsid w:val="00146F52"/>
    <w:rsid w:val="00147EDA"/>
    <w:rsid w:val="00150FC6"/>
    <w:rsid w:val="00154A7B"/>
    <w:rsid w:val="00157A8B"/>
    <w:rsid w:val="001602C2"/>
    <w:rsid w:val="00160734"/>
    <w:rsid w:val="00161E62"/>
    <w:rsid w:val="00163A5A"/>
    <w:rsid w:val="00165C57"/>
    <w:rsid w:val="00170B01"/>
    <w:rsid w:val="00170B9A"/>
    <w:rsid w:val="00170D94"/>
    <w:rsid w:val="001725BA"/>
    <w:rsid w:val="00173458"/>
    <w:rsid w:val="0017454B"/>
    <w:rsid w:val="0017690B"/>
    <w:rsid w:val="00177D7C"/>
    <w:rsid w:val="00182CC7"/>
    <w:rsid w:val="00184CC5"/>
    <w:rsid w:val="00185CB4"/>
    <w:rsid w:val="00190BE9"/>
    <w:rsid w:val="00192302"/>
    <w:rsid w:val="0019270C"/>
    <w:rsid w:val="00197A8A"/>
    <w:rsid w:val="001A048A"/>
    <w:rsid w:val="001A19B2"/>
    <w:rsid w:val="001A1A56"/>
    <w:rsid w:val="001A22D8"/>
    <w:rsid w:val="001A3286"/>
    <w:rsid w:val="001A46E5"/>
    <w:rsid w:val="001B1C3E"/>
    <w:rsid w:val="001B3DE5"/>
    <w:rsid w:val="001B6BCD"/>
    <w:rsid w:val="001C030A"/>
    <w:rsid w:val="001C1215"/>
    <w:rsid w:val="001C5388"/>
    <w:rsid w:val="001D182F"/>
    <w:rsid w:val="001D3539"/>
    <w:rsid w:val="001D574E"/>
    <w:rsid w:val="001D714E"/>
    <w:rsid w:val="001E06A1"/>
    <w:rsid w:val="001E1FB6"/>
    <w:rsid w:val="001E2C62"/>
    <w:rsid w:val="001E2D42"/>
    <w:rsid w:val="001E3128"/>
    <w:rsid w:val="001E3199"/>
    <w:rsid w:val="001E7C74"/>
    <w:rsid w:val="001F284E"/>
    <w:rsid w:val="001F4354"/>
    <w:rsid w:val="001F5301"/>
    <w:rsid w:val="001F5A0D"/>
    <w:rsid w:val="001F5C7F"/>
    <w:rsid w:val="001F686D"/>
    <w:rsid w:val="001F7ED1"/>
    <w:rsid w:val="002042C2"/>
    <w:rsid w:val="00205F22"/>
    <w:rsid w:val="00206850"/>
    <w:rsid w:val="00207CF8"/>
    <w:rsid w:val="00210108"/>
    <w:rsid w:val="002116E2"/>
    <w:rsid w:val="002164BE"/>
    <w:rsid w:val="00220760"/>
    <w:rsid w:val="0022136E"/>
    <w:rsid w:val="0022312B"/>
    <w:rsid w:val="00225C18"/>
    <w:rsid w:val="0022726B"/>
    <w:rsid w:val="002273AC"/>
    <w:rsid w:val="00231B64"/>
    <w:rsid w:val="00231C18"/>
    <w:rsid w:val="00231DDA"/>
    <w:rsid w:val="002428DB"/>
    <w:rsid w:val="00242C00"/>
    <w:rsid w:val="002432C1"/>
    <w:rsid w:val="00245444"/>
    <w:rsid w:val="002459EB"/>
    <w:rsid w:val="0025000D"/>
    <w:rsid w:val="00251195"/>
    <w:rsid w:val="00254BD6"/>
    <w:rsid w:val="00255667"/>
    <w:rsid w:val="00255A5B"/>
    <w:rsid w:val="00255F17"/>
    <w:rsid w:val="00256CBB"/>
    <w:rsid w:val="00260C6A"/>
    <w:rsid w:val="00261238"/>
    <w:rsid w:val="002638EB"/>
    <w:rsid w:val="0026446F"/>
    <w:rsid w:val="00267A52"/>
    <w:rsid w:val="00270734"/>
    <w:rsid w:val="0027265D"/>
    <w:rsid w:val="00273925"/>
    <w:rsid w:val="00277488"/>
    <w:rsid w:val="0028050A"/>
    <w:rsid w:val="00282C99"/>
    <w:rsid w:val="0029184C"/>
    <w:rsid w:val="002923FA"/>
    <w:rsid w:val="00293B4D"/>
    <w:rsid w:val="00293DFA"/>
    <w:rsid w:val="00294AE0"/>
    <w:rsid w:val="002974AD"/>
    <w:rsid w:val="002A1D00"/>
    <w:rsid w:val="002A26D8"/>
    <w:rsid w:val="002A32A3"/>
    <w:rsid w:val="002A5760"/>
    <w:rsid w:val="002A67EC"/>
    <w:rsid w:val="002B08A0"/>
    <w:rsid w:val="002B1FF3"/>
    <w:rsid w:val="002B3426"/>
    <w:rsid w:val="002B5A64"/>
    <w:rsid w:val="002B67F2"/>
    <w:rsid w:val="002B76D5"/>
    <w:rsid w:val="002C0CDC"/>
    <w:rsid w:val="002C1F03"/>
    <w:rsid w:val="002C2E16"/>
    <w:rsid w:val="002C32BD"/>
    <w:rsid w:val="002C496A"/>
    <w:rsid w:val="002C5E02"/>
    <w:rsid w:val="002C6F2A"/>
    <w:rsid w:val="002C7E0D"/>
    <w:rsid w:val="002C7E20"/>
    <w:rsid w:val="002D006B"/>
    <w:rsid w:val="002D0598"/>
    <w:rsid w:val="002D1E06"/>
    <w:rsid w:val="002D1FC7"/>
    <w:rsid w:val="002D22C7"/>
    <w:rsid w:val="002D2DF4"/>
    <w:rsid w:val="002D3E27"/>
    <w:rsid w:val="002D53D6"/>
    <w:rsid w:val="002D652F"/>
    <w:rsid w:val="002E038E"/>
    <w:rsid w:val="002E0C93"/>
    <w:rsid w:val="002E2DAC"/>
    <w:rsid w:val="002F04CE"/>
    <w:rsid w:val="002F101C"/>
    <w:rsid w:val="002F14A9"/>
    <w:rsid w:val="002F5BB5"/>
    <w:rsid w:val="002F5F08"/>
    <w:rsid w:val="002F6834"/>
    <w:rsid w:val="002F7414"/>
    <w:rsid w:val="002F74EE"/>
    <w:rsid w:val="00301A4E"/>
    <w:rsid w:val="00301E61"/>
    <w:rsid w:val="00303944"/>
    <w:rsid w:val="0030402A"/>
    <w:rsid w:val="003113C8"/>
    <w:rsid w:val="00313761"/>
    <w:rsid w:val="00314252"/>
    <w:rsid w:val="00315469"/>
    <w:rsid w:val="00317840"/>
    <w:rsid w:val="00320666"/>
    <w:rsid w:val="00320E2E"/>
    <w:rsid w:val="00321F35"/>
    <w:rsid w:val="00322D52"/>
    <w:rsid w:val="00327ED0"/>
    <w:rsid w:val="00335063"/>
    <w:rsid w:val="003359D4"/>
    <w:rsid w:val="00340663"/>
    <w:rsid w:val="003416F4"/>
    <w:rsid w:val="003425D9"/>
    <w:rsid w:val="00342C60"/>
    <w:rsid w:val="0034564A"/>
    <w:rsid w:val="00345ED2"/>
    <w:rsid w:val="00347EB8"/>
    <w:rsid w:val="003517E0"/>
    <w:rsid w:val="00351B9E"/>
    <w:rsid w:val="00351F24"/>
    <w:rsid w:val="00354B9C"/>
    <w:rsid w:val="00355C32"/>
    <w:rsid w:val="0035630D"/>
    <w:rsid w:val="00356BDC"/>
    <w:rsid w:val="003577A9"/>
    <w:rsid w:val="003600C3"/>
    <w:rsid w:val="00361FC1"/>
    <w:rsid w:val="00363C3A"/>
    <w:rsid w:val="00365398"/>
    <w:rsid w:val="00367795"/>
    <w:rsid w:val="00371D44"/>
    <w:rsid w:val="003735A6"/>
    <w:rsid w:val="0037475C"/>
    <w:rsid w:val="00380012"/>
    <w:rsid w:val="00381E32"/>
    <w:rsid w:val="00381E71"/>
    <w:rsid w:val="00382540"/>
    <w:rsid w:val="0038364E"/>
    <w:rsid w:val="00383A92"/>
    <w:rsid w:val="00390708"/>
    <w:rsid w:val="00391D1B"/>
    <w:rsid w:val="003935C6"/>
    <w:rsid w:val="00393723"/>
    <w:rsid w:val="00395AAC"/>
    <w:rsid w:val="00396B23"/>
    <w:rsid w:val="00396E7A"/>
    <w:rsid w:val="003974BD"/>
    <w:rsid w:val="003A0864"/>
    <w:rsid w:val="003A3CCF"/>
    <w:rsid w:val="003A68FC"/>
    <w:rsid w:val="003A6A52"/>
    <w:rsid w:val="003A7112"/>
    <w:rsid w:val="003A779B"/>
    <w:rsid w:val="003B1186"/>
    <w:rsid w:val="003B1889"/>
    <w:rsid w:val="003B282C"/>
    <w:rsid w:val="003B4C23"/>
    <w:rsid w:val="003B7D00"/>
    <w:rsid w:val="003C101C"/>
    <w:rsid w:val="003C133F"/>
    <w:rsid w:val="003C1AC6"/>
    <w:rsid w:val="003C3766"/>
    <w:rsid w:val="003C7285"/>
    <w:rsid w:val="003C7D6B"/>
    <w:rsid w:val="003D0250"/>
    <w:rsid w:val="003D0739"/>
    <w:rsid w:val="003D1F42"/>
    <w:rsid w:val="003D1FF2"/>
    <w:rsid w:val="003D545D"/>
    <w:rsid w:val="003E115F"/>
    <w:rsid w:val="003E179E"/>
    <w:rsid w:val="003E19F4"/>
    <w:rsid w:val="003E35CE"/>
    <w:rsid w:val="003E60AC"/>
    <w:rsid w:val="003E782C"/>
    <w:rsid w:val="003F0978"/>
    <w:rsid w:val="003F0F0F"/>
    <w:rsid w:val="003F1682"/>
    <w:rsid w:val="003F42BE"/>
    <w:rsid w:val="003F6716"/>
    <w:rsid w:val="003F7B46"/>
    <w:rsid w:val="00400409"/>
    <w:rsid w:val="00400D94"/>
    <w:rsid w:val="004028B8"/>
    <w:rsid w:val="00405BCB"/>
    <w:rsid w:val="00410BED"/>
    <w:rsid w:val="00413904"/>
    <w:rsid w:val="00413FEB"/>
    <w:rsid w:val="00415191"/>
    <w:rsid w:val="0041683C"/>
    <w:rsid w:val="00421A00"/>
    <w:rsid w:val="00421C43"/>
    <w:rsid w:val="00421D0F"/>
    <w:rsid w:val="00422BE2"/>
    <w:rsid w:val="004237EA"/>
    <w:rsid w:val="004245C7"/>
    <w:rsid w:val="0042570C"/>
    <w:rsid w:val="0042637E"/>
    <w:rsid w:val="00426E98"/>
    <w:rsid w:val="00430F04"/>
    <w:rsid w:val="00431AD9"/>
    <w:rsid w:val="00432CD0"/>
    <w:rsid w:val="00444552"/>
    <w:rsid w:val="004446CD"/>
    <w:rsid w:val="0044620B"/>
    <w:rsid w:val="0044766A"/>
    <w:rsid w:val="004507E7"/>
    <w:rsid w:val="00453B0F"/>
    <w:rsid w:val="00453FB1"/>
    <w:rsid w:val="00454711"/>
    <w:rsid w:val="00454876"/>
    <w:rsid w:val="00455054"/>
    <w:rsid w:val="0045680F"/>
    <w:rsid w:val="004577DD"/>
    <w:rsid w:val="00460C7C"/>
    <w:rsid w:val="004631E8"/>
    <w:rsid w:val="00463CC6"/>
    <w:rsid w:val="00464C39"/>
    <w:rsid w:val="00465448"/>
    <w:rsid w:val="0046736F"/>
    <w:rsid w:val="00467FAD"/>
    <w:rsid w:val="00474601"/>
    <w:rsid w:val="00480D3A"/>
    <w:rsid w:val="00481431"/>
    <w:rsid w:val="0048167A"/>
    <w:rsid w:val="0048301F"/>
    <w:rsid w:val="0048318A"/>
    <w:rsid w:val="0048484C"/>
    <w:rsid w:val="00484CEF"/>
    <w:rsid w:val="00486BAD"/>
    <w:rsid w:val="00487144"/>
    <w:rsid w:val="0048745E"/>
    <w:rsid w:val="00487D93"/>
    <w:rsid w:val="00492AE3"/>
    <w:rsid w:val="00492B5A"/>
    <w:rsid w:val="00493840"/>
    <w:rsid w:val="0049404A"/>
    <w:rsid w:val="004960A8"/>
    <w:rsid w:val="00497900"/>
    <w:rsid w:val="004A0ED7"/>
    <w:rsid w:val="004A1A29"/>
    <w:rsid w:val="004A2A09"/>
    <w:rsid w:val="004A7012"/>
    <w:rsid w:val="004B1E44"/>
    <w:rsid w:val="004B2F75"/>
    <w:rsid w:val="004B44E6"/>
    <w:rsid w:val="004B4DFC"/>
    <w:rsid w:val="004B4F70"/>
    <w:rsid w:val="004B5AFA"/>
    <w:rsid w:val="004C01BA"/>
    <w:rsid w:val="004C1B50"/>
    <w:rsid w:val="004C1E63"/>
    <w:rsid w:val="004C2CAC"/>
    <w:rsid w:val="004C2F21"/>
    <w:rsid w:val="004C397F"/>
    <w:rsid w:val="004D0579"/>
    <w:rsid w:val="004D2E9E"/>
    <w:rsid w:val="004D52E3"/>
    <w:rsid w:val="004E3164"/>
    <w:rsid w:val="004F13A0"/>
    <w:rsid w:val="004F23CE"/>
    <w:rsid w:val="004F55D8"/>
    <w:rsid w:val="004F5C3E"/>
    <w:rsid w:val="004F5FA4"/>
    <w:rsid w:val="00501875"/>
    <w:rsid w:val="005027A9"/>
    <w:rsid w:val="00502D7A"/>
    <w:rsid w:val="005041EC"/>
    <w:rsid w:val="005047C2"/>
    <w:rsid w:val="0050495F"/>
    <w:rsid w:val="00505174"/>
    <w:rsid w:val="005053AB"/>
    <w:rsid w:val="00507212"/>
    <w:rsid w:val="00510399"/>
    <w:rsid w:val="005167F3"/>
    <w:rsid w:val="00516A9C"/>
    <w:rsid w:val="00521631"/>
    <w:rsid w:val="0052454E"/>
    <w:rsid w:val="005255B8"/>
    <w:rsid w:val="00525FB0"/>
    <w:rsid w:val="00527F2A"/>
    <w:rsid w:val="0053077D"/>
    <w:rsid w:val="005308C2"/>
    <w:rsid w:val="005313C9"/>
    <w:rsid w:val="005326A4"/>
    <w:rsid w:val="0053382C"/>
    <w:rsid w:val="00533D66"/>
    <w:rsid w:val="00534FDB"/>
    <w:rsid w:val="00535FA0"/>
    <w:rsid w:val="00536684"/>
    <w:rsid w:val="005400FF"/>
    <w:rsid w:val="0054070A"/>
    <w:rsid w:val="00542DBF"/>
    <w:rsid w:val="005461C9"/>
    <w:rsid w:val="005506DE"/>
    <w:rsid w:val="005519C2"/>
    <w:rsid w:val="00553416"/>
    <w:rsid w:val="00553AE1"/>
    <w:rsid w:val="005543D5"/>
    <w:rsid w:val="00554D44"/>
    <w:rsid w:val="00554EBA"/>
    <w:rsid w:val="00560463"/>
    <w:rsid w:val="0056164E"/>
    <w:rsid w:val="00561876"/>
    <w:rsid w:val="00561F6C"/>
    <w:rsid w:val="0056247B"/>
    <w:rsid w:val="00562F60"/>
    <w:rsid w:val="0056486C"/>
    <w:rsid w:val="00564941"/>
    <w:rsid w:val="00566943"/>
    <w:rsid w:val="00566CA1"/>
    <w:rsid w:val="00573EC8"/>
    <w:rsid w:val="00574A22"/>
    <w:rsid w:val="00576790"/>
    <w:rsid w:val="00582C94"/>
    <w:rsid w:val="00582F15"/>
    <w:rsid w:val="005836C9"/>
    <w:rsid w:val="00587361"/>
    <w:rsid w:val="005905FE"/>
    <w:rsid w:val="00592B1E"/>
    <w:rsid w:val="00592BA8"/>
    <w:rsid w:val="00593A2C"/>
    <w:rsid w:val="005978EA"/>
    <w:rsid w:val="005A0218"/>
    <w:rsid w:val="005A0E78"/>
    <w:rsid w:val="005A1D0D"/>
    <w:rsid w:val="005A2A08"/>
    <w:rsid w:val="005A50F4"/>
    <w:rsid w:val="005A79C9"/>
    <w:rsid w:val="005A7F41"/>
    <w:rsid w:val="005B4418"/>
    <w:rsid w:val="005B45EF"/>
    <w:rsid w:val="005B4886"/>
    <w:rsid w:val="005B63B7"/>
    <w:rsid w:val="005C1B20"/>
    <w:rsid w:val="005C1C27"/>
    <w:rsid w:val="005C53EB"/>
    <w:rsid w:val="005C69DD"/>
    <w:rsid w:val="005D022E"/>
    <w:rsid w:val="005D1F4B"/>
    <w:rsid w:val="005D20F1"/>
    <w:rsid w:val="005D2D38"/>
    <w:rsid w:val="005D5B2B"/>
    <w:rsid w:val="005E61A0"/>
    <w:rsid w:val="005E6F12"/>
    <w:rsid w:val="005F1A8C"/>
    <w:rsid w:val="0060076C"/>
    <w:rsid w:val="006047C8"/>
    <w:rsid w:val="00606606"/>
    <w:rsid w:val="00610A1E"/>
    <w:rsid w:val="00613500"/>
    <w:rsid w:val="006161B6"/>
    <w:rsid w:val="006171B9"/>
    <w:rsid w:val="0061763B"/>
    <w:rsid w:val="0061769D"/>
    <w:rsid w:val="006244C9"/>
    <w:rsid w:val="00627825"/>
    <w:rsid w:val="0063250B"/>
    <w:rsid w:val="00633891"/>
    <w:rsid w:val="006345F3"/>
    <w:rsid w:val="006362DE"/>
    <w:rsid w:val="00636ABC"/>
    <w:rsid w:val="00640625"/>
    <w:rsid w:val="00642992"/>
    <w:rsid w:val="00642AE7"/>
    <w:rsid w:val="00642D23"/>
    <w:rsid w:val="006515ED"/>
    <w:rsid w:val="00654326"/>
    <w:rsid w:val="00655728"/>
    <w:rsid w:val="0066210B"/>
    <w:rsid w:val="00663307"/>
    <w:rsid w:val="006650EB"/>
    <w:rsid w:val="006658C6"/>
    <w:rsid w:val="006667EE"/>
    <w:rsid w:val="006673E9"/>
    <w:rsid w:val="00670B54"/>
    <w:rsid w:val="00671FC7"/>
    <w:rsid w:val="00676E29"/>
    <w:rsid w:val="00677021"/>
    <w:rsid w:val="00677708"/>
    <w:rsid w:val="0067787A"/>
    <w:rsid w:val="00683CB7"/>
    <w:rsid w:val="00683F0D"/>
    <w:rsid w:val="0068435B"/>
    <w:rsid w:val="00685E00"/>
    <w:rsid w:val="00685E2D"/>
    <w:rsid w:val="0069050E"/>
    <w:rsid w:val="0069376D"/>
    <w:rsid w:val="00695980"/>
    <w:rsid w:val="00696881"/>
    <w:rsid w:val="00697CC6"/>
    <w:rsid w:val="006A1374"/>
    <w:rsid w:val="006A2289"/>
    <w:rsid w:val="006A445E"/>
    <w:rsid w:val="006A4E8E"/>
    <w:rsid w:val="006A53FC"/>
    <w:rsid w:val="006B3840"/>
    <w:rsid w:val="006B55A3"/>
    <w:rsid w:val="006B566D"/>
    <w:rsid w:val="006C267E"/>
    <w:rsid w:val="006C2688"/>
    <w:rsid w:val="006C28A8"/>
    <w:rsid w:val="006C2EC3"/>
    <w:rsid w:val="006D0B4F"/>
    <w:rsid w:val="006D361E"/>
    <w:rsid w:val="006D7383"/>
    <w:rsid w:val="006E0D25"/>
    <w:rsid w:val="006E3545"/>
    <w:rsid w:val="006F1BFF"/>
    <w:rsid w:val="006F2550"/>
    <w:rsid w:val="00700BEB"/>
    <w:rsid w:val="00701F7A"/>
    <w:rsid w:val="007044AA"/>
    <w:rsid w:val="0070502B"/>
    <w:rsid w:val="00705656"/>
    <w:rsid w:val="0070586E"/>
    <w:rsid w:val="00706059"/>
    <w:rsid w:val="00706353"/>
    <w:rsid w:val="00706A0F"/>
    <w:rsid w:val="00706F95"/>
    <w:rsid w:val="00707F66"/>
    <w:rsid w:val="00710B02"/>
    <w:rsid w:val="007118AE"/>
    <w:rsid w:val="00716F5D"/>
    <w:rsid w:val="00717044"/>
    <w:rsid w:val="0072215C"/>
    <w:rsid w:val="007224A1"/>
    <w:rsid w:val="00724284"/>
    <w:rsid w:val="007272CE"/>
    <w:rsid w:val="0073144A"/>
    <w:rsid w:val="00731484"/>
    <w:rsid w:val="007319B9"/>
    <w:rsid w:val="00734564"/>
    <w:rsid w:val="0073620F"/>
    <w:rsid w:val="0073743A"/>
    <w:rsid w:val="00741192"/>
    <w:rsid w:val="007417E5"/>
    <w:rsid w:val="00742804"/>
    <w:rsid w:val="00744663"/>
    <w:rsid w:val="00746E96"/>
    <w:rsid w:val="00750063"/>
    <w:rsid w:val="007514F1"/>
    <w:rsid w:val="00752294"/>
    <w:rsid w:val="00761515"/>
    <w:rsid w:val="007627C1"/>
    <w:rsid w:val="007632CE"/>
    <w:rsid w:val="0077010F"/>
    <w:rsid w:val="0077108A"/>
    <w:rsid w:val="00771D03"/>
    <w:rsid w:val="0077282D"/>
    <w:rsid w:val="00774792"/>
    <w:rsid w:val="00775977"/>
    <w:rsid w:val="00776A06"/>
    <w:rsid w:val="00780F21"/>
    <w:rsid w:val="00781BC2"/>
    <w:rsid w:val="00783340"/>
    <w:rsid w:val="007972BD"/>
    <w:rsid w:val="00797A34"/>
    <w:rsid w:val="007A2619"/>
    <w:rsid w:val="007A4C2B"/>
    <w:rsid w:val="007A5710"/>
    <w:rsid w:val="007B041F"/>
    <w:rsid w:val="007B1A32"/>
    <w:rsid w:val="007B2101"/>
    <w:rsid w:val="007B3998"/>
    <w:rsid w:val="007B65BF"/>
    <w:rsid w:val="007C1CE7"/>
    <w:rsid w:val="007C3C61"/>
    <w:rsid w:val="007C4244"/>
    <w:rsid w:val="007C5518"/>
    <w:rsid w:val="007C5C5E"/>
    <w:rsid w:val="007C5F34"/>
    <w:rsid w:val="007C67E8"/>
    <w:rsid w:val="007C6976"/>
    <w:rsid w:val="007C7D8F"/>
    <w:rsid w:val="007D00C1"/>
    <w:rsid w:val="007D350E"/>
    <w:rsid w:val="007E0E30"/>
    <w:rsid w:val="007E280D"/>
    <w:rsid w:val="007E4401"/>
    <w:rsid w:val="007E7012"/>
    <w:rsid w:val="007E7ACF"/>
    <w:rsid w:val="007F2734"/>
    <w:rsid w:val="007F2A89"/>
    <w:rsid w:val="007F2C10"/>
    <w:rsid w:val="007F542A"/>
    <w:rsid w:val="007F5C7E"/>
    <w:rsid w:val="007F5E6D"/>
    <w:rsid w:val="007F7EB7"/>
    <w:rsid w:val="00802581"/>
    <w:rsid w:val="008025F1"/>
    <w:rsid w:val="008036C5"/>
    <w:rsid w:val="0080465A"/>
    <w:rsid w:val="0080532D"/>
    <w:rsid w:val="00807AD8"/>
    <w:rsid w:val="0081051F"/>
    <w:rsid w:val="008122A1"/>
    <w:rsid w:val="00813954"/>
    <w:rsid w:val="00815382"/>
    <w:rsid w:val="00816412"/>
    <w:rsid w:val="00817E37"/>
    <w:rsid w:val="008243A0"/>
    <w:rsid w:val="00827DF3"/>
    <w:rsid w:val="00830E72"/>
    <w:rsid w:val="008327B0"/>
    <w:rsid w:val="008333CE"/>
    <w:rsid w:val="0083574A"/>
    <w:rsid w:val="00835AC3"/>
    <w:rsid w:val="00837F16"/>
    <w:rsid w:val="00840063"/>
    <w:rsid w:val="008400F8"/>
    <w:rsid w:val="008416A4"/>
    <w:rsid w:val="00841ACD"/>
    <w:rsid w:val="008433CC"/>
    <w:rsid w:val="00844680"/>
    <w:rsid w:val="00846685"/>
    <w:rsid w:val="00847832"/>
    <w:rsid w:val="00850639"/>
    <w:rsid w:val="00851542"/>
    <w:rsid w:val="008544A2"/>
    <w:rsid w:val="00854D4A"/>
    <w:rsid w:val="008604C3"/>
    <w:rsid w:val="00861204"/>
    <w:rsid w:val="00870338"/>
    <w:rsid w:val="00870897"/>
    <w:rsid w:val="00871C82"/>
    <w:rsid w:val="008738D4"/>
    <w:rsid w:val="008744EE"/>
    <w:rsid w:val="0087498A"/>
    <w:rsid w:val="00876A18"/>
    <w:rsid w:val="00876D5A"/>
    <w:rsid w:val="0088074C"/>
    <w:rsid w:val="008809D7"/>
    <w:rsid w:val="00881187"/>
    <w:rsid w:val="008812B0"/>
    <w:rsid w:val="00883C5D"/>
    <w:rsid w:val="00891364"/>
    <w:rsid w:val="00891900"/>
    <w:rsid w:val="00892671"/>
    <w:rsid w:val="0089433D"/>
    <w:rsid w:val="00896B4D"/>
    <w:rsid w:val="008A5155"/>
    <w:rsid w:val="008A557E"/>
    <w:rsid w:val="008A55CA"/>
    <w:rsid w:val="008B07CF"/>
    <w:rsid w:val="008B767B"/>
    <w:rsid w:val="008C483D"/>
    <w:rsid w:val="008C6FB5"/>
    <w:rsid w:val="008D0C3F"/>
    <w:rsid w:val="008D5AD9"/>
    <w:rsid w:val="008D5F5E"/>
    <w:rsid w:val="008D70F0"/>
    <w:rsid w:val="008D7786"/>
    <w:rsid w:val="008E2EA5"/>
    <w:rsid w:val="008E49F9"/>
    <w:rsid w:val="008E5F50"/>
    <w:rsid w:val="008E7B5D"/>
    <w:rsid w:val="008F02C3"/>
    <w:rsid w:val="008F07FF"/>
    <w:rsid w:val="008F0B52"/>
    <w:rsid w:val="008F3A00"/>
    <w:rsid w:val="008F4FE1"/>
    <w:rsid w:val="008F524D"/>
    <w:rsid w:val="008F533A"/>
    <w:rsid w:val="008F658F"/>
    <w:rsid w:val="009017D8"/>
    <w:rsid w:val="00902CCD"/>
    <w:rsid w:val="00906320"/>
    <w:rsid w:val="00906506"/>
    <w:rsid w:val="0090681D"/>
    <w:rsid w:val="00906A6F"/>
    <w:rsid w:val="00907ED2"/>
    <w:rsid w:val="0091082B"/>
    <w:rsid w:val="00911421"/>
    <w:rsid w:val="0091272D"/>
    <w:rsid w:val="00912D00"/>
    <w:rsid w:val="00915325"/>
    <w:rsid w:val="0091589E"/>
    <w:rsid w:val="00916AF7"/>
    <w:rsid w:val="00917C9D"/>
    <w:rsid w:val="00924931"/>
    <w:rsid w:val="009263A8"/>
    <w:rsid w:val="00927231"/>
    <w:rsid w:val="009274E8"/>
    <w:rsid w:val="00930277"/>
    <w:rsid w:val="009317A3"/>
    <w:rsid w:val="00933C5A"/>
    <w:rsid w:val="00933DBC"/>
    <w:rsid w:val="00934898"/>
    <w:rsid w:val="00935D3F"/>
    <w:rsid w:val="009361B7"/>
    <w:rsid w:val="009368D5"/>
    <w:rsid w:val="00940857"/>
    <w:rsid w:val="009429E5"/>
    <w:rsid w:val="00943106"/>
    <w:rsid w:val="00946D3C"/>
    <w:rsid w:val="00947515"/>
    <w:rsid w:val="009520AB"/>
    <w:rsid w:val="00952F21"/>
    <w:rsid w:val="009532E3"/>
    <w:rsid w:val="00955190"/>
    <w:rsid w:val="00955AE1"/>
    <w:rsid w:val="009565D8"/>
    <w:rsid w:val="00961CD4"/>
    <w:rsid w:val="009639FD"/>
    <w:rsid w:val="00963A04"/>
    <w:rsid w:val="009677A0"/>
    <w:rsid w:val="00967E7D"/>
    <w:rsid w:val="00970BE7"/>
    <w:rsid w:val="0097170D"/>
    <w:rsid w:val="00972D87"/>
    <w:rsid w:val="0097400D"/>
    <w:rsid w:val="00975FF6"/>
    <w:rsid w:val="009771F1"/>
    <w:rsid w:val="009776EB"/>
    <w:rsid w:val="0097772C"/>
    <w:rsid w:val="00980020"/>
    <w:rsid w:val="0098153E"/>
    <w:rsid w:val="00982112"/>
    <w:rsid w:val="009821BD"/>
    <w:rsid w:val="009848AC"/>
    <w:rsid w:val="009865F5"/>
    <w:rsid w:val="0098669A"/>
    <w:rsid w:val="00987BC0"/>
    <w:rsid w:val="00990106"/>
    <w:rsid w:val="00990948"/>
    <w:rsid w:val="00990F47"/>
    <w:rsid w:val="00991C57"/>
    <w:rsid w:val="00993846"/>
    <w:rsid w:val="00994A02"/>
    <w:rsid w:val="00994D7A"/>
    <w:rsid w:val="00996FCE"/>
    <w:rsid w:val="009A3EED"/>
    <w:rsid w:val="009B0620"/>
    <w:rsid w:val="009B2792"/>
    <w:rsid w:val="009B72DD"/>
    <w:rsid w:val="009C0148"/>
    <w:rsid w:val="009C027C"/>
    <w:rsid w:val="009C093E"/>
    <w:rsid w:val="009C0F8F"/>
    <w:rsid w:val="009C36E0"/>
    <w:rsid w:val="009C3D59"/>
    <w:rsid w:val="009C4663"/>
    <w:rsid w:val="009C4C27"/>
    <w:rsid w:val="009C51C2"/>
    <w:rsid w:val="009C76FE"/>
    <w:rsid w:val="009C7928"/>
    <w:rsid w:val="009D0BF8"/>
    <w:rsid w:val="009D109D"/>
    <w:rsid w:val="009D26AE"/>
    <w:rsid w:val="009E2622"/>
    <w:rsid w:val="009E27AD"/>
    <w:rsid w:val="009E29D4"/>
    <w:rsid w:val="009E4D9D"/>
    <w:rsid w:val="009E5F7E"/>
    <w:rsid w:val="00A06B42"/>
    <w:rsid w:val="00A07B8D"/>
    <w:rsid w:val="00A10DA2"/>
    <w:rsid w:val="00A16353"/>
    <w:rsid w:val="00A16F16"/>
    <w:rsid w:val="00A16FD1"/>
    <w:rsid w:val="00A209E8"/>
    <w:rsid w:val="00A250E6"/>
    <w:rsid w:val="00A25ED9"/>
    <w:rsid w:val="00A3089F"/>
    <w:rsid w:val="00A310CC"/>
    <w:rsid w:val="00A31C50"/>
    <w:rsid w:val="00A32490"/>
    <w:rsid w:val="00A32CF5"/>
    <w:rsid w:val="00A32F7C"/>
    <w:rsid w:val="00A33F25"/>
    <w:rsid w:val="00A35ADF"/>
    <w:rsid w:val="00A367D0"/>
    <w:rsid w:val="00A377D8"/>
    <w:rsid w:val="00A42725"/>
    <w:rsid w:val="00A4284E"/>
    <w:rsid w:val="00A50314"/>
    <w:rsid w:val="00A50D88"/>
    <w:rsid w:val="00A50F49"/>
    <w:rsid w:val="00A511D3"/>
    <w:rsid w:val="00A51E90"/>
    <w:rsid w:val="00A52DF9"/>
    <w:rsid w:val="00A535D1"/>
    <w:rsid w:val="00A53E0D"/>
    <w:rsid w:val="00A54ABF"/>
    <w:rsid w:val="00A54C6A"/>
    <w:rsid w:val="00A55F99"/>
    <w:rsid w:val="00A575A1"/>
    <w:rsid w:val="00A61862"/>
    <w:rsid w:val="00A650D5"/>
    <w:rsid w:val="00A656C0"/>
    <w:rsid w:val="00A6712E"/>
    <w:rsid w:val="00A67796"/>
    <w:rsid w:val="00A70E67"/>
    <w:rsid w:val="00A72621"/>
    <w:rsid w:val="00A74A11"/>
    <w:rsid w:val="00A7658D"/>
    <w:rsid w:val="00A77A40"/>
    <w:rsid w:val="00A80995"/>
    <w:rsid w:val="00A82997"/>
    <w:rsid w:val="00A95021"/>
    <w:rsid w:val="00AA0281"/>
    <w:rsid w:val="00AA07CF"/>
    <w:rsid w:val="00AA2096"/>
    <w:rsid w:val="00AA2481"/>
    <w:rsid w:val="00AA286E"/>
    <w:rsid w:val="00AA5AD3"/>
    <w:rsid w:val="00AA5DA5"/>
    <w:rsid w:val="00AB11A5"/>
    <w:rsid w:val="00AB342D"/>
    <w:rsid w:val="00AB397F"/>
    <w:rsid w:val="00AB40A9"/>
    <w:rsid w:val="00AB6215"/>
    <w:rsid w:val="00AB6787"/>
    <w:rsid w:val="00AB6E06"/>
    <w:rsid w:val="00AB7C30"/>
    <w:rsid w:val="00AC43A3"/>
    <w:rsid w:val="00AC6506"/>
    <w:rsid w:val="00AD0202"/>
    <w:rsid w:val="00AD22B9"/>
    <w:rsid w:val="00AD2EA6"/>
    <w:rsid w:val="00AD3BAB"/>
    <w:rsid w:val="00AD4106"/>
    <w:rsid w:val="00AD6A3A"/>
    <w:rsid w:val="00AE05F7"/>
    <w:rsid w:val="00AE1079"/>
    <w:rsid w:val="00AE2FD6"/>
    <w:rsid w:val="00AE64F6"/>
    <w:rsid w:val="00AF0261"/>
    <w:rsid w:val="00AF0E53"/>
    <w:rsid w:val="00AF228F"/>
    <w:rsid w:val="00AF671E"/>
    <w:rsid w:val="00B00BD0"/>
    <w:rsid w:val="00B0102F"/>
    <w:rsid w:val="00B02A7A"/>
    <w:rsid w:val="00B033AE"/>
    <w:rsid w:val="00B0528B"/>
    <w:rsid w:val="00B060D2"/>
    <w:rsid w:val="00B0650B"/>
    <w:rsid w:val="00B06511"/>
    <w:rsid w:val="00B06953"/>
    <w:rsid w:val="00B0737F"/>
    <w:rsid w:val="00B10699"/>
    <w:rsid w:val="00B1204B"/>
    <w:rsid w:val="00B131EA"/>
    <w:rsid w:val="00B1444D"/>
    <w:rsid w:val="00B15BAF"/>
    <w:rsid w:val="00B16607"/>
    <w:rsid w:val="00B17096"/>
    <w:rsid w:val="00B219F1"/>
    <w:rsid w:val="00B224EF"/>
    <w:rsid w:val="00B22D8D"/>
    <w:rsid w:val="00B22E11"/>
    <w:rsid w:val="00B25997"/>
    <w:rsid w:val="00B261CF"/>
    <w:rsid w:val="00B26639"/>
    <w:rsid w:val="00B31691"/>
    <w:rsid w:val="00B31783"/>
    <w:rsid w:val="00B333AF"/>
    <w:rsid w:val="00B3439E"/>
    <w:rsid w:val="00B36596"/>
    <w:rsid w:val="00B41102"/>
    <w:rsid w:val="00B413F8"/>
    <w:rsid w:val="00B42B02"/>
    <w:rsid w:val="00B43704"/>
    <w:rsid w:val="00B449CC"/>
    <w:rsid w:val="00B44B26"/>
    <w:rsid w:val="00B44B59"/>
    <w:rsid w:val="00B4601A"/>
    <w:rsid w:val="00B462A1"/>
    <w:rsid w:val="00B478BF"/>
    <w:rsid w:val="00B55575"/>
    <w:rsid w:val="00B56719"/>
    <w:rsid w:val="00B57B1E"/>
    <w:rsid w:val="00B6076A"/>
    <w:rsid w:val="00B60843"/>
    <w:rsid w:val="00B618EE"/>
    <w:rsid w:val="00B61D92"/>
    <w:rsid w:val="00B628CE"/>
    <w:rsid w:val="00B648BF"/>
    <w:rsid w:val="00B66F26"/>
    <w:rsid w:val="00B71D7E"/>
    <w:rsid w:val="00B759CE"/>
    <w:rsid w:val="00B7651F"/>
    <w:rsid w:val="00B84F3B"/>
    <w:rsid w:val="00B8681A"/>
    <w:rsid w:val="00B901EA"/>
    <w:rsid w:val="00B93699"/>
    <w:rsid w:val="00B94B51"/>
    <w:rsid w:val="00B954E0"/>
    <w:rsid w:val="00BA5758"/>
    <w:rsid w:val="00BA5ABC"/>
    <w:rsid w:val="00BA5B53"/>
    <w:rsid w:val="00BB1A2A"/>
    <w:rsid w:val="00BC26BC"/>
    <w:rsid w:val="00BC5313"/>
    <w:rsid w:val="00BC5BB4"/>
    <w:rsid w:val="00BC606F"/>
    <w:rsid w:val="00BC6BAC"/>
    <w:rsid w:val="00BD2068"/>
    <w:rsid w:val="00BD3D7C"/>
    <w:rsid w:val="00BD687F"/>
    <w:rsid w:val="00BD6A40"/>
    <w:rsid w:val="00BD7307"/>
    <w:rsid w:val="00BE1D68"/>
    <w:rsid w:val="00BE209C"/>
    <w:rsid w:val="00BE46FC"/>
    <w:rsid w:val="00BE52E8"/>
    <w:rsid w:val="00BE639D"/>
    <w:rsid w:val="00BE6A7D"/>
    <w:rsid w:val="00BF3547"/>
    <w:rsid w:val="00BF45D5"/>
    <w:rsid w:val="00BF468A"/>
    <w:rsid w:val="00C031DB"/>
    <w:rsid w:val="00C10FE4"/>
    <w:rsid w:val="00C1123E"/>
    <w:rsid w:val="00C11718"/>
    <w:rsid w:val="00C14356"/>
    <w:rsid w:val="00C16A07"/>
    <w:rsid w:val="00C173AA"/>
    <w:rsid w:val="00C17EC4"/>
    <w:rsid w:val="00C201F4"/>
    <w:rsid w:val="00C210E3"/>
    <w:rsid w:val="00C24F83"/>
    <w:rsid w:val="00C251A5"/>
    <w:rsid w:val="00C27BF1"/>
    <w:rsid w:val="00C30209"/>
    <w:rsid w:val="00C34803"/>
    <w:rsid w:val="00C34D13"/>
    <w:rsid w:val="00C410DE"/>
    <w:rsid w:val="00C43194"/>
    <w:rsid w:val="00C4348A"/>
    <w:rsid w:val="00C45DAA"/>
    <w:rsid w:val="00C461C7"/>
    <w:rsid w:val="00C47731"/>
    <w:rsid w:val="00C53440"/>
    <w:rsid w:val="00C53E75"/>
    <w:rsid w:val="00C54C42"/>
    <w:rsid w:val="00C5758B"/>
    <w:rsid w:val="00C61017"/>
    <w:rsid w:val="00C61684"/>
    <w:rsid w:val="00C616AF"/>
    <w:rsid w:val="00C62958"/>
    <w:rsid w:val="00C63719"/>
    <w:rsid w:val="00C63D4F"/>
    <w:rsid w:val="00C64229"/>
    <w:rsid w:val="00C66EEF"/>
    <w:rsid w:val="00C67BD0"/>
    <w:rsid w:val="00C720CD"/>
    <w:rsid w:val="00C73A63"/>
    <w:rsid w:val="00C74185"/>
    <w:rsid w:val="00C75332"/>
    <w:rsid w:val="00C76435"/>
    <w:rsid w:val="00C76DE2"/>
    <w:rsid w:val="00C82CF7"/>
    <w:rsid w:val="00C853C8"/>
    <w:rsid w:val="00C863B0"/>
    <w:rsid w:val="00C90AA6"/>
    <w:rsid w:val="00C92252"/>
    <w:rsid w:val="00C9239D"/>
    <w:rsid w:val="00C94A1C"/>
    <w:rsid w:val="00C94B1F"/>
    <w:rsid w:val="00C95F52"/>
    <w:rsid w:val="00C97074"/>
    <w:rsid w:val="00CA0DD5"/>
    <w:rsid w:val="00CA2309"/>
    <w:rsid w:val="00CA2FEF"/>
    <w:rsid w:val="00CA6499"/>
    <w:rsid w:val="00CB1418"/>
    <w:rsid w:val="00CB21F4"/>
    <w:rsid w:val="00CB2298"/>
    <w:rsid w:val="00CB25CE"/>
    <w:rsid w:val="00CB2800"/>
    <w:rsid w:val="00CB7F76"/>
    <w:rsid w:val="00CC37FD"/>
    <w:rsid w:val="00CD07B2"/>
    <w:rsid w:val="00CD09EB"/>
    <w:rsid w:val="00CD4DCE"/>
    <w:rsid w:val="00CE113A"/>
    <w:rsid w:val="00CE196D"/>
    <w:rsid w:val="00CE1B28"/>
    <w:rsid w:val="00CE2440"/>
    <w:rsid w:val="00CE25AA"/>
    <w:rsid w:val="00CE397C"/>
    <w:rsid w:val="00CF01A8"/>
    <w:rsid w:val="00CF0C9F"/>
    <w:rsid w:val="00CF1606"/>
    <w:rsid w:val="00D013D6"/>
    <w:rsid w:val="00D02919"/>
    <w:rsid w:val="00D030D3"/>
    <w:rsid w:val="00D053BC"/>
    <w:rsid w:val="00D06956"/>
    <w:rsid w:val="00D0766D"/>
    <w:rsid w:val="00D10A0D"/>
    <w:rsid w:val="00D10FBC"/>
    <w:rsid w:val="00D11C43"/>
    <w:rsid w:val="00D14F8A"/>
    <w:rsid w:val="00D15EB5"/>
    <w:rsid w:val="00D16608"/>
    <w:rsid w:val="00D16AAF"/>
    <w:rsid w:val="00D1752A"/>
    <w:rsid w:val="00D21C37"/>
    <w:rsid w:val="00D22D0E"/>
    <w:rsid w:val="00D274CD"/>
    <w:rsid w:val="00D304FA"/>
    <w:rsid w:val="00D31F1E"/>
    <w:rsid w:val="00D359F4"/>
    <w:rsid w:val="00D36AF1"/>
    <w:rsid w:val="00D40077"/>
    <w:rsid w:val="00D422B4"/>
    <w:rsid w:val="00D4573D"/>
    <w:rsid w:val="00D46A37"/>
    <w:rsid w:val="00D5157D"/>
    <w:rsid w:val="00D51861"/>
    <w:rsid w:val="00D51D6B"/>
    <w:rsid w:val="00D52E0C"/>
    <w:rsid w:val="00D545E3"/>
    <w:rsid w:val="00D62C8E"/>
    <w:rsid w:val="00D62CAC"/>
    <w:rsid w:val="00D6459B"/>
    <w:rsid w:val="00D649FB"/>
    <w:rsid w:val="00D65A88"/>
    <w:rsid w:val="00D73D12"/>
    <w:rsid w:val="00D75F8B"/>
    <w:rsid w:val="00D811F0"/>
    <w:rsid w:val="00D81614"/>
    <w:rsid w:val="00D8186F"/>
    <w:rsid w:val="00D81998"/>
    <w:rsid w:val="00D84E58"/>
    <w:rsid w:val="00D850E7"/>
    <w:rsid w:val="00D85D5E"/>
    <w:rsid w:val="00D85F55"/>
    <w:rsid w:val="00D8749B"/>
    <w:rsid w:val="00D92713"/>
    <w:rsid w:val="00D92F6F"/>
    <w:rsid w:val="00D93BE6"/>
    <w:rsid w:val="00D95D23"/>
    <w:rsid w:val="00D96C1F"/>
    <w:rsid w:val="00DA47C4"/>
    <w:rsid w:val="00DB3E3F"/>
    <w:rsid w:val="00DB5421"/>
    <w:rsid w:val="00DB73EF"/>
    <w:rsid w:val="00DB78E3"/>
    <w:rsid w:val="00DC03BF"/>
    <w:rsid w:val="00DC23A2"/>
    <w:rsid w:val="00DC335A"/>
    <w:rsid w:val="00DC40E0"/>
    <w:rsid w:val="00DC4D45"/>
    <w:rsid w:val="00DC606C"/>
    <w:rsid w:val="00DC7425"/>
    <w:rsid w:val="00DD06D5"/>
    <w:rsid w:val="00DD0712"/>
    <w:rsid w:val="00DD0801"/>
    <w:rsid w:val="00DD341B"/>
    <w:rsid w:val="00DD371F"/>
    <w:rsid w:val="00DD4695"/>
    <w:rsid w:val="00DD7557"/>
    <w:rsid w:val="00DE0036"/>
    <w:rsid w:val="00DE2E22"/>
    <w:rsid w:val="00DE39F8"/>
    <w:rsid w:val="00DF460E"/>
    <w:rsid w:val="00DF4B37"/>
    <w:rsid w:val="00DF590B"/>
    <w:rsid w:val="00DF754A"/>
    <w:rsid w:val="00DF7588"/>
    <w:rsid w:val="00E00D7C"/>
    <w:rsid w:val="00E028A8"/>
    <w:rsid w:val="00E047F7"/>
    <w:rsid w:val="00E04989"/>
    <w:rsid w:val="00E05F3E"/>
    <w:rsid w:val="00E104F5"/>
    <w:rsid w:val="00E10F3A"/>
    <w:rsid w:val="00E136EF"/>
    <w:rsid w:val="00E138B5"/>
    <w:rsid w:val="00E14124"/>
    <w:rsid w:val="00E14DB2"/>
    <w:rsid w:val="00E15071"/>
    <w:rsid w:val="00E164CF"/>
    <w:rsid w:val="00E16EA6"/>
    <w:rsid w:val="00E1772C"/>
    <w:rsid w:val="00E20394"/>
    <w:rsid w:val="00E20DDB"/>
    <w:rsid w:val="00E2140D"/>
    <w:rsid w:val="00E21670"/>
    <w:rsid w:val="00E22498"/>
    <w:rsid w:val="00E25F36"/>
    <w:rsid w:val="00E266CE"/>
    <w:rsid w:val="00E31CD7"/>
    <w:rsid w:val="00E32844"/>
    <w:rsid w:val="00E43401"/>
    <w:rsid w:val="00E445B7"/>
    <w:rsid w:val="00E465E8"/>
    <w:rsid w:val="00E47D57"/>
    <w:rsid w:val="00E5265B"/>
    <w:rsid w:val="00E52E29"/>
    <w:rsid w:val="00E54718"/>
    <w:rsid w:val="00E635AE"/>
    <w:rsid w:val="00E64489"/>
    <w:rsid w:val="00E648FB"/>
    <w:rsid w:val="00E67D84"/>
    <w:rsid w:val="00E71FC6"/>
    <w:rsid w:val="00E732FD"/>
    <w:rsid w:val="00E75D57"/>
    <w:rsid w:val="00E778E5"/>
    <w:rsid w:val="00E81569"/>
    <w:rsid w:val="00E83459"/>
    <w:rsid w:val="00E83AB0"/>
    <w:rsid w:val="00E8417A"/>
    <w:rsid w:val="00E85002"/>
    <w:rsid w:val="00E85EDB"/>
    <w:rsid w:val="00E87153"/>
    <w:rsid w:val="00E87448"/>
    <w:rsid w:val="00E93C48"/>
    <w:rsid w:val="00E96AAD"/>
    <w:rsid w:val="00E96C7F"/>
    <w:rsid w:val="00E974BB"/>
    <w:rsid w:val="00EA0BAD"/>
    <w:rsid w:val="00EA1E82"/>
    <w:rsid w:val="00EA21EF"/>
    <w:rsid w:val="00EA226A"/>
    <w:rsid w:val="00EA2A10"/>
    <w:rsid w:val="00EA5D82"/>
    <w:rsid w:val="00EA6EAC"/>
    <w:rsid w:val="00EB0106"/>
    <w:rsid w:val="00EB2F31"/>
    <w:rsid w:val="00EB4A0C"/>
    <w:rsid w:val="00EB5E82"/>
    <w:rsid w:val="00EB6976"/>
    <w:rsid w:val="00EB7D68"/>
    <w:rsid w:val="00EB7FC4"/>
    <w:rsid w:val="00EC00BC"/>
    <w:rsid w:val="00EC0B8F"/>
    <w:rsid w:val="00EC177E"/>
    <w:rsid w:val="00EC33B4"/>
    <w:rsid w:val="00EC7C28"/>
    <w:rsid w:val="00EC7D8D"/>
    <w:rsid w:val="00ED1E1F"/>
    <w:rsid w:val="00ED7049"/>
    <w:rsid w:val="00ED7F2F"/>
    <w:rsid w:val="00EE0046"/>
    <w:rsid w:val="00EE0442"/>
    <w:rsid w:val="00EE1048"/>
    <w:rsid w:val="00EE16F1"/>
    <w:rsid w:val="00EE2EE0"/>
    <w:rsid w:val="00EE40AC"/>
    <w:rsid w:val="00EE484B"/>
    <w:rsid w:val="00EE527D"/>
    <w:rsid w:val="00EF1F92"/>
    <w:rsid w:val="00EF31A3"/>
    <w:rsid w:val="00EF72C3"/>
    <w:rsid w:val="00F0049D"/>
    <w:rsid w:val="00F007E1"/>
    <w:rsid w:val="00F02D86"/>
    <w:rsid w:val="00F031DF"/>
    <w:rsid w:val="00F03FE8"/>
    <w:rsid w:val="00F101AF"/>
    <w:rsid w:val="00F10428"/>
    <w:rsid w:val="00F120CF"/>
    <w:rsid w:val="00F1264A"/>
    <w:rsid w:val="00F135B3"/>
    <w:rsid w:val="00F13BF1"/>
    <w:rsid w:val="00F15CA9"/>
    <w:rsid w:val="00F17985"/>
    <w:rsid w:val="00F20180"/>
    <w:rsid w:val="00F22556"/>
    <w:rsid w:val="00F23E9A"/>
    <w:rsid w:val="00F24851"/>
    <w:rsid w:val="00F25A00"/>
    <w:rsid w:val="00F25A31"/>
    <w:rsid w:val="00F271D8"/>
    <w:rsid w:val="00F2733B"/>
    <w:rsid w:val="00F302DF"/>
    <w:rsid w:val="00F3049E"/>
    <w:rsid w:val="00F3375F"/>
    <w:rsid w:val="00F347E5"/>
    <w:rsid w:val="00F352A5"/>
    <w:rsid w:val="00F35586"/>
    <w:rsid w:val="00F3597A"/>
    <w:rsid w:val="00F46296"/>
    <w:rsid w:val="00F545AF"/>
    <w:rsid w:val="00F57686"/>
    <w:rsid w:val="00F60350"/>
    <w:rsid w:val="00F63518"/>
    <w:rsid w:val="00F65FEB"/>
    <w:rsid w:val="00F70035"/>
    <w:rsid w:val="00F701BA"/>
    <w:rsid w:val="00F71663"/>
    <w:rsid w:val="00F7337C"/>
    <w:rsid w:val="00F73A22"/>
    <w:rsid w:val="00F744FC"/>
    <w:rsid w:val="00F75910"/>
    <w:rsid w:val="00F77A61"/>
    <w:rsid w:val="00F80F97"/>
    <w:rsid w:val="00F846AE"/>
    <w:rsid w:val="00F84FE2"/>
    <w:rsid w:val="00F85ECC"/>
    <w:rsid w:val="00F8631F"/>
    <w:rsid w:val="00F87D58"/>
    <w:rsid w:val="00F905A4"/>
    <w:rsid w:val="00F906C0"/>
    <w:rsid w:val="00F9126F"/>
    <w:rsid w:val="00F9258A"/>
    <w:rsid w:val="00F93A25"/>
    <w:rsid w:val="00F96CE2"/>
    <w:rsid w:val="00FA4D07"/>
    <w:rsid w:val="00FA6602"/>
    <w:rsid w:val="00FB0594"/>
    <w:rsid w:val="00FB1AA6"/>
    <w:rsid w:val="00FB298B"/>
    <w:rsid w:val="00FB37BC"/>
    <w:rsid w:val="00FB685D"/>
    <w:rsid w:val="00FB6AD8"/>
    <w:rsid w:val="00FB784A"/>
    <w:rsid w:val="00FC0474"/>
    <w:rsid w:val="00FC099E"/>
    <w:rsid w:val="00FC0DFB"/>
    <w:rsid w:val="00FC18A5"/>
    <w:rsid w:val="00FC19E6"/>
    <w:rsid w:val="00FC207A"/>
    <w:rsid w:val="00FC3CA7"/>
    <w:rsid w:val="00FC5846"/>
    <w:rsid w:val="00FD2D26"/>
    <w:rsid w:val="00FD36F0"/>
    <w:rsid w:val="00FD774A"/>
    <w:rsid w:val="00FE0BF6"/>
    <w:rsid w:val="00FE4807"/>
    <w:rsid w:val="00FE5E4D"/>
    <w:rsid w:val="00FE663C"/>
    <w:rsid w:val="00FF073F"/>
    <w:rsid w:val="00FF1043"/>
    <w:rsid w:val="00FF1A07"/>
    <w:rsid w:val="00FF2BE6"/>
    <w:rsid w:val="00FF6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5D8"/>
  </w:style>
  <w:style w:type="paragraph" w:styleId="Heading1">
    <w:name w:val="heading 1"/>
    <w:basedOn w:val="Normal"/>
    <w:next w:val="Normal"/>
    <w:qFormat/>
    <w:rsid w:val="004F55D8"/>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F55D8"/>
    <w:rPr>
      <w:color w:val="0000FF"/>
      <w:u w:val="single"/>
    </w:rPr>
  </w:style>
  <w:style w:type="paragraph" w:styleId="Header">
    <w:name w:val="header"/>
    <w:basedOn w:val="Normal"/>
    <w:link w:val="HeaderChar"/>
    <w:uiPriority w:val="99"/>
    <w:rsid w:val="004F55D8"/>
    <w:pPr>
      <w:tabs>
        <w:tab w:val="center" w:pos="4320"/>
        <w:tab w:val="right" w:pos="8640"/>
      </w:tabs>
    </w:pPr>
  </w:style>
  <w:style w:type="paragraph" w:styleId="Footer">
    <w:name w:val="footer"/>
    <w:basedOn w:val="Normal"/>
    <w:link w:val="FooterChar"/>
    <w:uiPriority w:val="99"/>
    <w:rsid w:val="004F55D8"/>
    <w:pPr>
      <w:tabs>
        <w:tab w:val="center" w:pos="4320"/>
        <w:tab w:val="right" w:pos="8640"/>
      </w:tabs>
    </w:pPr>
  </w:style>
  <w:style w:type="paragraph" w:styleId="PlainText">
    <w:name w:val="Plain Text"/>
    <w:basedOn w:val="Normal"/>
    <w:rsid w:val="004F55D8"/>
    <w:rPr>
      <w:rFonts w:ascii="Courier New" w:hAnsi="Courier New" w:cs="Courier New"/>
    </w:rPr>
  </w:style>
  <w:style w:type="paragraph" w:styleId="FootnoteText">
    <w:name w:val="footnote text"/>
    <w:basedOn w:val="Normal"/>
    <w:semiHidden/>
    <w:rsid w:val="004F55D8"/>
  </w:style>
  <w:style w:type="character" w:styleId="FootnoteReference">
    <w:name w:val="footnote reference"/>
    <w:basedOn w:val="DefaultParagraphFont"/>
    <w:semiHidden/>
    <w:rsid w:val="004F55D8"/>
    <w:rPr>
      <w:vertAlign w:val="superscript"/>
    </w:rPr>
  </w:style>
  <w:style w:type="paragraph" w:styleId="BodyText">
    <w:name w:val="Body Text"/>
    <w:basedOn w:val="Normal"/>
    <w:link w:val="BodyTextChar"/>
    <w:rsid w:val="004F55D8"/>
    <w:rPr>
      <w:sz w:val="24"/>
    </w:rPr>
  </w:style>
  <w:style w:type="paragraph" w:customStyle="1" w:styleId="xl29">
    <w:name w:val="xl29"/>
    <w:basedOn w:val="Normal"/>
    <w:rsid w:val="004F55D8"/>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basedOn w:val="DefaultParagraphFont"/>
    <w:rsid w:val="004F55D8"/>
    <w:rPr>
      <w:color w:val="800080"/>
      <w:u w:val="single"/>
    </w:rPr>
  </w:style>
  <w:style w:type="table" w:styleId="TableGrid">
    <w:name w:val="Table Grid"/>
    <w:basedOn w:val="TableNormal"/>
    <w:uiPriority w:val="59"/>
    <w:rsid w:val="001F5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06A0F"/>
    <w:rPr>
      <w:rFonts w:ascii="Tahoma" w:hAnsi="Tahoma" w:cs="Tahoma"/>
      <w:sz w:val="16"/>
      <w:szCs w:val="16"/>
    </w:rPr>
  </w:style>
  <w:style w:type="character" w:styleId="PageNumber">
    <w:name w:val="page number"/>
    <w:basedOn w:val="DefaultParagraphFont"/>
    <w:rsid w:val="00150FC6"/>
  </w:style>
  <w:style w:type="paragraph" w:styleId="ListParagraph">
    <w:name w:val="List Paragraph"/>
    <w:basedOn w:val="Normal"/>
    <w:uiPriority w:val="34"/>
    <w:qFormat/>
    <w:rsid w:val="00FC099E"/>
    <w:pPr>
      <w:ind w:left="720"/>
      <w:contextualSpacing/>
    </w:pPr>
  </w:style>
  <w:style w:type="character" w:customStyle="1" w:styleId="BodyTextChar">
    <w:name w:val="Body Text Char"/>
    <w:basedOn w:val="DefaultParagraphFont"/>
    <w:link w:val="BodyText"/>
    <w:rsid w:val="00A82997"/>
    <w:rPr>
      <w:sz w:val="24"/>
    </w:rPr>
  </w:style>
  <w:style w:type="character" w:customStyle="1" w:styleId="HeaderChar">
    <w:name w:val="Header Char"/>
    <w:basedOn w:val="DefaultParagraphFont"/>
    <w:link w:val="Header"/>
    <w:uiPriority w:val="99"/>
    <w:rsid w:val="00E1772C"/>
  </w:style>
  <w:style w:type="character" w:customStyle="1" w:styleId="FooterChar">
    <w:name w:val="Footer Char"/>
    <w:basedOn w:val="DefaultParagraphFont"/>
    <w:link w:val="Footer"/>
    <w:uiPriority w:val="99"/>
    <w:rsid w:val="00E1772C"/>
  </w:style>
  <w:style w:type="paragraph" w:styleId="EndnoteText">
    <w:name w:val="endnote text"/>
    <w:basedOn w:val="Normal"/>
    <w:link w:val="EndnoteTextChar"/>
    <w:rsid w:val="00507212"/>
  </w:style>
  <w:style w:type="character" w:customStyle="1" w:styleId="EndnoteTextChar">
    <w:name w:val="Endnote Text Char"/>
    <w:basedOn w:val="DefaultParagraphFont"/>
    <w:link w:val="EndnoteText"/>
    <w:rsid w:val="00507212"/>
  </w:style>
  <w:style w:type="character" w:styleId="EndnoteReference">
    <w:name w:val="endnote reference"/>
    <w:basedOn w:val="DefaultParagraphFont"/>
    <w:rsid w:val="00507212"/>
    <w:rPr>
      <w:vertAlign w:val="superscript"/>
    </w:rPr>
  </w:style>
  <w:style w:type="table" w:styleId="MediumShading1-Accent1">
    <w:name w:val="Medium Shading 1 Accent 1"/>
    <w:basedOn w:val="TableNormal"/>
    <w:uiPriority w:val="63"/>
    <w:rsid w:val="008D70F0"/>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5D8"/>
  </w:style>
  <w:style w:type="paragraph" w:styleId="Heading1">
    <w:name w:val="heading 1"/>
    <w:basedOn w:val="Normal"/>
    <w:next w:val="Normal"/>
    <w:qFormat/>
    <w:rsid w:val="004F55D8"/>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F55D8"/>
    <w:rPr>
      <w:color w:val="0000FF"/>
      <w:u w:val="single"/>
    </w:rPr>
  </w:style>
  <w:style w:type="paragraph" w:styleId="Header">
    <w:name w:val="header"/>
    <w:basedOn w:val="Normal"/>
    <w:link w:val="HeaderChar"/>
    <w:uiPriority w:val="99"/>
    <w:rsid w:val="004F55D8"/>
    <w:pPr>
      <w:tabs>
        <w:tab w:val="center" w:pos="4320"/>
        <w:tab w:val="right" w:pos="8640"/>
      </w:tabs>
    </w:pPr>
  </w:style>
  <w:style w:type="paragraph" w:styleId="Footer">
    <w:name w:val="footer"/>
    <w:basedOn w:val="Normal"/>
    <w:link w:val="FooterChar"/>
    <w:uiPriority w:val="99"/>
    <w:rsid w:val="004F55D8"/>
    <w:pPr>
      <w:tabs>
        <w:tab w:val="center" w:pos="4320"/>
        <w:tab w:val="right" w:pos="8640"/>
      </w:tabs>
    </w:pPr>
  </w:style>
  <w:style w:type="paragraph" w:styleId="PlainText">
    <w:name w:val="Plain Text"/>
    <w:basedOn w:val="Normal"/>
    <w:rsid w:val="004F55D8"/>
    <w:rPr>
      <w:rFonts w:ascii="Courier New" w:hAnsi="Courier New" w:cs="Courier New"/>
    </w:rPr>
  </w:style>
  <w:style w:type="paragraph" w:styleId="FootnoteText">
    <w:name w:val="footnote text"/>
    <w:basedOn w:val="Normal"/>
    <w:semiHidden/>
    <w:rsid w:val="004F55D8"/>
  </w:style>
  <w:style w:type="character" w:styleId="FootnoteReference">
    <w:name w:val="footnote reference"/>
    <w:basedOn w:val="DefaultParagraphFont"/>
    <w:semiHidden/>
    <w:rsid w:val="004F55D8"/>
    <w:rPr>
      <w:vertAlign w:val="superscript"/>
    </w:rPr>
  </w:style>
  <w:style w:type="paragraph" w:styleId="BodyText">
    <w:name w:val="Body Text"/>
    <w:basedOn w:val="Normal"/>
    <w:link w:val="BodyTextChar"/>
    <w:rsid w:val="004F55D8"/>
    <w:rPr>
      <w:sz w:val="24"/>
    </w:rPr>
  </w:style>
  <w:style w:type="paragraph" w:customStyle="1" w:styleId="xl29">
    <w:name w:val="xl29"/>
    <w:basedOn w:val="Normal"/>
    <w:rsid w:val="004F55D8"/>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basedOn w:val="DefaultParagraphFont"/>
    <w:rsid w:val="004F55D8"/>
    <w:rPr>
      <w:color w:val="800080"/>
      <w:u w:val="single"/>
    </w:rPr>
  </w:style>
  <w:style w:type="table" w:styleId="TableGrid">
    <w:name w:val="Table Grid"/>
    <w:basedOn w:val="TableNormal"/>
    <w:uiPriority w:val="59"/>
    <w:rsid w:val="001F5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06A0F"/>
    <w:rPr>
      <w:rFonts w:ascii="Tahoma" w:hAnsi="Tahoma" w:cs="Tahoma"/>
      <w:sz w:val="16"/>
      <w:szCs w:val="16"/>
    </w:rPr>
  </w:style>
  <w:style w:type="character" w:styleId="PageNumber">
    <w:name w:val="page number"/>
    <w:basedOn w:val="DefaultParagraphFont"/>
    <w:rsid w:val="00150FC6"/>
  </w:style>
  <w:style w:type="paragraph" w:styleId="ListParagraph">
    <w:name w:val="List Paragraph"/>
    <w:basedOn w:val="Normal"/>
    <w:uiPriority w:val="34"/>
    <w:qFormat/>
    <w:rsid w:val="00FC099E"/>
    <w:pPr>
      <w:ind w:left="720"/>
      <w:contextualSpacing/>
    </w:pPr>
  </w:style>
  <w:style w:type="character" w:customStyle="1" w:styleId="BodyTextChar">
    <w:name w:val="Body Text Char"/>
    <w:basedOn w:val="DefaultParagraphFont"/>
    <w:link w:val="BodyText"/>
    <w:rsid w:val="00A82997"/>
    <w:rPr>
      <w:sz w:val="24"/>
    </w:rPr>
  </w:style>
  <w:style w:type="character" w:customStyle="1" w:styleId="HeaderChar">
    <w:name w:val="Header Char"/>
    <w:basedOn w:val="DefaultParagraphFont"/>
    <w:link w:val="Header"/>
    <w:uiPriority w:val="99"/>
    <w:rsid w:val="00E1772C"/>
  </w:style>
  <w:style w:type="character" w:customStyle="1" w:styleId="FooterChar">
    <w:name w:val="Footer Char"/>
    <w:basedOn w:val="DefaultParagraphFont"/>
    <w:link w:val="Footer"/>
    <w:uiPriority w:val="99"/>
    <w:rsid w:val="00E1772C"/>
  </w:style>
  <w:style w:type="paragraph" w:styleId="EndnoteText">
    <w:name w:val="endnote text"/>
    <w:basedOn w:val="Normal"/>
    <w:link w:val="EndnoteTextChar"/>
    <w:rsid w:val="00507212"/>
  </w:style>
  <w:style w:type="character" w:customStyle="1" w:styleId="EndnoteTextChar">
    <w:name w:val="Endnote Text Char"/>
    <w:basedOn w:val="DefaultParagraphFont"/>
    <w:link w:val="EndnoteText"/>
    <w:rsid w:val="00507212"/>
  </w:style>
  <w:style w:type="character" w:styleId="EndnoteReference">
    <w:name w:val="endnote reference"/>
    <w:basedOn w:val="DefaultParagraphFont"/>
    <w:rsid w:val="00507212"/>
    <w:rPr>
      <w:vertAlign w:val="superscript"/>
    </w:rPr>
  </w:style>
  <w:style w:type="table" w:styleId="MediumShading1-Accent1">
    <w:name w:val="Medium Shading 1 Accent 1"/>
    <w:basedOn w:val="TableNormal"/>
    <w:uiPriority w:val="63"/>
    <w:rsid w:val="008D70F0"/>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0753">
      <w:bodyDiv w:val="1"/>
      <w:marLeft w:val="0"/>
      <w:marRight w:val="0"/>
      <w:marTop w:val="0"/>
      <w:marBottom w:val="0"/>
      <w:divBdr>
        <w:top w:val="none" w:sz="0" w:space="0" w:color="auto"/>
        <w:left w:val="none" w:sz="0" w:space="0" w:color="auto"/>
        <w:bottom w:val="none" w:sz="0" w:space="0" w:color="auto"/>
        <w:right w:val="none" w:sz="0" w:space="0" w:color="auto"/>
      </w:divBdr>
    </w:div>
    <w:div w:id="86049389">
      <w:bodyDiv w:val="1"/>
      <w:marLeft w:val="0"/>
      <w:marRight w:val="0"/>
      <w:marTop w:val="0"/>
      <w:marBottom w:val="0"/>
      <w:divBdr>
        <w:top w:val="none" w:sz="0" w:space="0" w:color="auto"/>
        <w:left w:val="none" w:sz="0" w:space="0" w:color="auto"/>
        <w:bottom w:val="none" w:sz="0" w:space="0" w:color="auto"/>
        <w:right w:val="none" w:sz="0" w:space="0" w:color="auto"/>
      </w:divBdr>
    </w:div>
    <w:div w:id="96564668">
      <w:bodyDiv w:val="1"/>
      <w:marLeft w:val="0"/>
      <w:marRight w:val="0"/>
      <w:marTop w:val="0"/>
      <w:marBottom w:val="0"/>
      <w:divBdr>
        <w:top w:val="none" w:sz="0" w:space="0" w:color="auto"/>
        <w:left w:val="none" w:sz="0" w:space="0" w:color="auto"/>
        <w:bottom w:val="none" w:sz="0" w:space="0" w:color="auto"/>
        <w:right w:val="none" w:sz="0" w:space="0" w:color="auto"/>
      </w:divBdr>
    </w:div>
    <w:div w:id="107940499">
      <w:bodyDiv w:val="1"/>
      <w:marLeft w:val="0"/>
      <w:marRight w:val="0"/>
      <w:marTop w:val="0"/>
      <w:marBottom w:val="0"/>
      <w:divBdr>
        <w:top w:val="none" w:sz="0" w:space="0" w:color="auto"/>
        <w:left w:val="none" w:sz="0" w:space="0" w:color="auto"/>
        <w:bottom w:val="none" w:sz="0" w:space="0" w:color="auto"/>
        <w:right w:val="none" w:sz="0" w:space="0" w:color="auto"/>
      </w:divBdr>
    </w:div>
    <w:div w:id="141850384">
      <w:bodyDiv w:val="1"/>
      <w:marLeft w:val="0"/>
      <w:marRight w:val="0"/>
      <w:marTop w:val="0"/>
      <w:marBottom w:val="0"/>
      <w:divBdr>
        <w:top w:val="none" w:sz="0" w:space="0" w:color="auto"/>
        <w:left w:val="none" w:sz="0" w:space="0" w:color="auto"/>
        <w:bottom w:val="none" w:sz="0" w:space="0" w:color="auto"/>
        <w:right w:val="none" w:sz="0" w:space="0" w:color="auto"/>
      </w:divBdr>
    </w:div>
    <w:div w:id="161286669">
      <w:bodyDiv w:val="1"/>
      <w:marLeft w:val="0"/>
      <w:marRight w:val="0"/>
      <w:marTop w:val="0"/>
      <w:marBottom w:val="0"/>
      <w:divBdr>
        <w:top w:val="none" w:sz="0" w:space="0" w:color="auto"/>
        <w:left w:val="none" w:sz="0" w:space="0" w:color="auto"/>
        <w:bottom w:val="none" w:sz="0" w:space="0" w:color="auto"/>
        <w:right w:val="none" w:sz="0" w:space="0" w:color="auto"/>
      </w:divBdr>
    </w:div>
    <w:div w:id="278922058">
      <w:bodyDiv w:val="1"/>
      <w:marLeft w:val="0"/>
      <w:marRight w:val="0"/>
      <w:marTop w:val="0"/>
      <w:marBottom w:val="0"/>
      <w:divBdr>
        <w:top w:val="none" w:sz="0" w:space="0" w:color="auto"/>
        <w:left w:val="none" w:sz="0" w:space="0" w:color="auto"/>
        <w:bottom w:val="none" w:sz="0" w:space="0" w:color="auto"/>
        <w:right w:val="none" w:sz="0" w:space="0" w:color="auto"/>
      </w:divBdr>
    </w:div>
    <w:div w:id="344140363">
      <w:bodyDiv w:val="1"/>
      <w:marLeft w:val="0"/>
      <w:marRight w:val="0"/>
      <w:marTop w:val="0"/>
      <w:marBottom w:val="0"/>
      <w:divBdr>
        <w:top w:val="none" w:sz="0" w:space="0" w:color="auto"/>
        <w:left w:val="none" w:sz="0" w:space="0" w:color="auto"/>
        <w:bottom w:val="none" w:sz="0" w:space="0" w:color="auto"/>
        <w:right w:val="none" w:sz="0" w:space="0" w:color="auto"/>
      </w:divBdr>
    </w:div>
    <w:div w:id="354813459">
      <w:bodyDiv w:val="1"/>
      <w:marLeft w:val="0"/>
      <w:marRight w:val="0"/>
      <w:marTop w:val="0"/>
      <w:marBottom w:val="0"/>
      <w:divBdr>
        <w:top w:val="none" w:sz="0" w:space="0" w:color="auto"/>
        <w:left w:val="none" w:sz="0" w:space="0" w:color="auto"/>
        <w:bottom w:val="none" w:sz="0" w:space="0" w:color="auto"/>
        <w:right w:val="none" w:sz="0" w:space="0" w:color="auto"/>
      </w:divBdr>
    </w:div>
    <w:div w:id="357975094">
      <w:bodyDiv w:val="1"/>
      <w:marLeft w:val="0"/>
      <w:marRight w:val="0"/>
      <w:marTop w:val="0"/>
      <w:marBottom w:val="0"/>
      <w:divBdr>
        <w:top w:val="none" w:sz="0" w:space="0" w:color="auto"/>
        <w:left w:val="none" w:sz="0" w:space="0" w:color="auto"/>
        <w:bottom w:val="none" w:sz="0" w:space="0" w:color="auto"/>
        <w:right w:val="none" w:sz="0" w:space="0" w:color="auto"/>
      </w:divBdr>
    </w:div>
    <w:div w:id="384063554">
      <w:bodyDiv w:val="1"/>
      <w:marLeft w:val="0"/>
      <w:marRight w:val="0"/>
      <w:marTop w:val="0"/>
      <w:marBottom w:val="0"/>
      <w:divBdr>
        <w:top w:val="none" w:sz="0" w:space="0" w:color="auto"/>
        <w:left w:val="none" w:sz="0" w:space="0" w:color="auto"/>
        <w:bottom w:val="none" w:sz="0" w:space="0" w:color="auto"/>
        <w:right w:val="none" w:sz="0" w:space="0" w:color="auto"/>
      </w:divBdr>
    </w:div>
    <w:div w:id="397940388">
      <w:bodyDiv w:val="1"/>
      <w:marLeft w:val="0"/>
      <w:marRight w:val="0"/>
      <w:marTop w:val="0"/>
      <w:marBottom w:val="0"/>
      <w:divBdr>
        <w:top w:val="none" w:sz="0" w:space="0" w:color="auto"/>
        <w:left w:val="none" w:sz="0" w:space="0" w:color="auto"/>
        <w:bottom w:val="none" w:sz="0" w:space="0" w:color="auto"/>
        <w:right w:val="none" w:sz="0" w:space="0" w:color="auto"/>
      </w:divBdr>
    </w:div>
    <w:div w:id="507258425">
      <w:bodyDiv w:val="1"/>
      <w:marLeft w:val="0"/>
      <w:marRight w:val="0"/>
      <w:marTop w:val="0"/>
      <w:marBottom w:val="0"/>
      <w:divBdr>
        <w:top w:val="none" w:sz="0" w:space="0" w:color="auto"/>
        <w:left w:val="none" w:sz="0" w:space="0" w:color="auto"/>
        <w:bottom w:val="none" w:sz="0" w:space="0" w:color="auto"/>
        <w:right w:val="none" w:sz="0" w:space="0" w:color="auto"/>
      </w:divBdr>
    </w:div>
    <w:div w:id="524364091">
      <w:bodyDiv w:val="1"/>
      <w:marLeft w:val="0"/>
      <w:marRight w:val="0"/>
      <w:marTop w:val="0"/>
      <w:marBottom w:val="0"/>
      <w:divBdr>
        <w:top w:val="none" w:sz="0" w:space="0" w:color="auto"/>
        <w:left w:val="none" w:sz="0" w:space="0" w:color="auto"/>
        <w:bottom w:val="none" w:sz="0" w:space="0" w:color="auto"/>
        <w:right w:val="none" w:sz="0" w:space="0" w:color="auto"/>
      </w:divBdr>
    </w:div>
    <w:div w:id="558828399">
      <w:bodyDiv w:val="1"/>
      <w:marLeft w:val="0"/>
      <w:marRight w:val="0"/>
      <w:marTop w:val="0"/>
      <w:marBottom w:val="0"/>
      <w:divBdr>
        <w:top w:val="none" w:sz="0" w:space="0" w:color="auto"/>
        <w:left w:val="none" w:sz="0" w:space="0" w:color="auto"/>
        <w:bottom w:val="none" w:sz="0" w:space="0" w:color="auto"/>
        <w:right w:val="none" w:sz="0" w:space="0" w:color="auto"/>
      </w:divBdr>
    </w:div>
    <w:div w:id="562716405">
      <w:bodyDiv w:val="1"/>
      <w:marLeft w:val="0"/>
      <w:marRight w:val="0"/>
      <w:marTop w:val="0"/>
      <w:marBottom w:val="0"/>
      <w:divBdr>
        <w:top w:val="none" w:sz="0" w:space="0" w:color="auto"/>
        <w:left w:val="none" w:sz="0" w:space="0" w:color="auto"/>
        <w:bottom w:val="none" w:sz="0" w:space="0" w:color="auto"/>
        <w:right w:val="none" w:sz="0" w:space="0" w:color="auto"/>
      </w:divBdr>
    </w:div>
    <w:div w:id="575629289">
      <w:bodyDiv w:val="1"/>
      <w:marLeft w:val="0"/>
      <w:marRight w:val="0"/>
      <w:marTop w:val="0"/>
      <w:marBottom w:val="0"/>
      <w:divBdr>
        <w:top w:val="none" w:sz="0" w:space="0" w:color="auto"/>
        <w:left w:val="none" w:sz="0" w:space="0" w:color="auto"/>
        <w:bottom w:val="none" w:sz="0" w:space="0" w:color="auto"/>
        <w:right w:val="none" w:sz="0" w:space="0" w:color="auto"/>
      </w:divBdr>
    </w:div>
    <w:div w:id="600333018">
      <w:bodyDiv w:val="1"/>
      <w:marLeft w:val="0"/>
      <w:marRight w:val="0"/>
      <w:marTop w:val="0"/>
      <w:marBottom w:val="0"/>
      <w:divBdr>
        <w:top w:val="none" w:sz="0" w:space="0" w:color="auto"/>
        <w:left w:val="none" w:sz="0" w:space="0" w:color="auto"/>
        <w:bottom w:val="none" w:sz="0" w:space="0" w:color="auto"/>
        <w:right w:val="none" w:sz="0" w:space="0" w:color="auto"/>
      </w:divBdr>
    </w:div>
    <w:div w:id="613445729">
      <w:bodyDiv w:val="1"/>
      <w:marLeft w:val="0"/>
      <w:marRight w:val="0"/>
      <w:marTop w:val="0"/>
      <w:marBottom w:val="0"/>
      <w:divBdr>
        <w:top w:val="none" w:sz="0" w:space="0" w:color="auto"/>
        <w:left w:val="none" w:sz="0" w:space="0" w:color="auto"/>
        <w:bottom w:val="none" w:sz="0" w:space="0" w:color="auto"/>
        <w:right w:val="none" w:sz="0" w:space="0" w:color="auto"/>
      </w:divBdr>
    </w:div>
    <w:div w:id="618608754">
      <w:bodyDiv w:val="1"/>
      <w:marLeft w:val="0"/>
      <w:marRight w:val="0"/>
      <w:marTop w:val="0"/>
      <w:marBottom w:val="0"/>
      <w:divBdr>
        <w:top w:val="none" w:sz="0" w:space="0" w:color="auto"/>
        <w:left w:val="none" w:sz="0" w:space="0" w:color="auto"/>
        <w:bottom w:val="none" w:sz="0" w:space="0" w:color="auto"/>
        <w:right w:val="none" w:sz="0" w:space="0" w:color="auto"/>
      </w:divBdr>
    </w:div>
    <w:div w:id="621887539">
      <w:bodyDiv w:val="1"/>
      <w:marLeft w:val="0"/>
      <w:marRight w:val="0"/>
      <w:marTop w:val="0"/>
      <w:marBottom w:val="0"/>
      <w:divBdr>
        <w:top w:val="none" w:sz="0" w:space="0" w:color="auto"/>
        <w:left w:val="none" w:sz="0" w:space="0" w:color="auto"/>
        <w:bottom w:val="none" w:sz="0" w:space="0" w:color="auto"/>
        <w:right w:val="none" w:sz="0" w:space="0" w:color="auto"/>
      </w:divBdr>
    </w:div>
    <w:div w:id="623969169">
      <w:bodyDiv w:val="1"/>
      <w:marLeft w:val="0"/>
      <w:marRight w:val="0"/>
      <w:marTop w:val="0"/>
      <w:marBottom w:val="0"/>
      <w:divBdr>
        <w:top w:val="none" w:sz="0" w:space="0" w:color="auto"/>
        <w:left w:val="none" w:sz="0" w:space="0" w:color="auto"/>
        <w:bottom w:val="none" w:sz="0" w:space="0" w:color="auto"/>
        <w:right w:val="none" w:sz="0" w:space="0" w:color="auto"/>
      </w:divBdr>
    </w:div>
    <w:div w:id="669138242">
      <w:bodyDiv w:val="1"/>
      <w:marLeft w:val="0"/>
      <w:marRight w:val="0"/>
      <w:marTop w:val="0"/>
      <w:marBottom w:val="0"/>
      <w:divBdr>
        <w:top w:val="none" w:sz="0" w:space="0" w:color="auto"/>
        <w:left w:val="none" w:sz="0" w:space="0" w:color="auto"/>
        <w:bottom w:val="none" w:sz="0" w:space="0" w:color="auto"/>
        <w:right w:val="none" w:sz="0" w:space="0" w:color="auto"/>
      </w:divBdr>
    </w:div>
    <w:div w:id="724647870">
      <w:bodyDiv w:val="1"/>
      <w:marLeft w:val="0"/>
      <w:marRight w:val="0"/>
      <w:marTop w:val="0"/>
      <w:marBottom w:val="0"/>
      <w:divBdr>
        <w:top w:val="none" w:sz="0" w:space="0" w:color="auto"/>
        <w:left w:val="none" w:sz="0" w:space="0" w:color="auto"/>
        <w:bottom w:val="none" w:sz="0" w:space="0" w:color="auto"/>
        <w:right w:val="none" w:sz="0" w:space="0" w:color="auto"/>
      </w:divBdr>
    </w:div>
    <w:div w:id="814493754">
      <w:bodyDiv w:val="1"/>
      <w:marLeft w:val="0"/>
      <w:marRight w:val="0"/>
      <w:marTop w:val="0"/>
      <w:marBottom w:val="0"/>
      <w:divBdr>
        <w:top w:val="none" w:sz="0" w:space="0" w:color="auto"/>
        <w:left w:val="none" w:sz="0" w:space="0" w:color="auto"/>
        <w:bottom w:val="none" w:sz="0" w:space="0" w:color="auto"/>
        <w:right w:val="none" w:sz="0" w:space="0" w:color="auto"/>
      </w:divBdr>
    </w:div>
    <w:div w:id="815225196">
      <w:bodyDiv w:val="1"/>
      <w:marLeft w:val="0"/>
      <w:marRight w:val="0"/>
      <w:marTop w:val="0"/>
      <w:marBottom w:val="0"/>
      <w:divBdr>
        <w:top w:val="none" w:sz="0" w:space="0" w:color="auto"/>
        <w:left w:val="none" w:sz="0" w:space="0" w:color="auto"/>
        <w:bottom w:val="none" w:sz="0" w:space="0" w:color="auto"/>
        <w:right w:val="none" w:sz="0" w:space="0" w:color="auto"/>
      </w:divBdr>
    </w:div>
    <w:div w:id="1021398617">
      <w:bodyDiv w:val="1"/>
      <w:marLeft w:val="0"/>
      <w:marRight w:val="0"/>
      <w:marTop w:val="0"/>
      <w:marBottom w:val="0"/>
      <w:divBdr>
        <w:top w:val="none" w:sz="0" w:space="0" w:color="auto"/>
        <w:left w:val="none" w:sz="0" w:space="0" w:color="auto"/>
        <w:bottom w:val="none" w:sz="0" w:space="0" w:color="auto"/>
        <w:right w:val="none" w:sz="0" w:space="0" w:color="auto"/>
      </w:divBdr>
    </w:div>
    <w:div w:id="1052658406">
      <w:bodyDiv w:val="1"/>
      <w:marLeft w:val="0"/>
      <w:marRight w:val="0"/>
      <w:marTop w:val="0"/>
      <w:marBottom w:val="0"/>
      <w:divBdr>
        <w:top w:val="none" w:sz="0" w:space="0" w:color="auto"/>
        <w:left w:val="none" w:sz="0" w:space="0" w:color="auto"/>
        <w:bottom w:val="none" w:sz="0" w:space="0" w:color="auto"/>
        <w:right w:val="none" w:sz="0" w:space="0" w:color="auto"/>
      </w:divBdr>
    </w:div>
    <w:div w:id="1069038616">
      <w:bodyDiv w:val="1"/>
      <w:marLeft w:val="0"/>
      <w:marRight w:val="0"/>
      <w:marTop w:val="0"/>
      <w:marBottom w:val="0"/>
      <w:divBdr>
        <w:top w:val="none" w:sz="0" w:space="0" w:color="auto"/>
        <w:left w:val="none" w:sz="0" w:space="0" w:color="auto"/>
        <w:bottom w:val="none" w:sz="0" w:space="0" w:color="auto"/>
        <w:right w:val="none" w:sz="0" w:space="0" w:color="auto"/>
      </w:divBdr>
    </w:div>
    <w:div w:id="1069960464">
      <w:bodyDiv w:val="1"/>
      <w:marLeft w:val="0"/>
      <w:marRight w:val="0"/>
      <w:marTop w:val="0"/>
      <w:marBottom w:val="0"/>
      <w:divBdr>
        <w:top w:val="none" w:sz="0" w:space="0" w:color="auto"/>
        <w:left w:val="none" w:sz="0" w:space="0" w:color="auto"/>
        <w:bottom w:val="none" w:sz="0" w:space="0" w:color="auto"/>
        <w:right w:val="none" w:sz="0" w:space="0" w:color="auto"/>
      </w:divBdr>
    </w:div>
    <w:div w:id="1082025000">
      <w:bodyDiv w:val="1"/>
      <w:marLeft w:val="0"/>
      <w:marRight w:val="0"/>
      <w:marTop w:val="0"/>
      <w:marBottom w:val="0"/>
      <w:divBdr>
        <w:top w:val="none" w:sz="0" w:space="0" w:color="auto"/>
        <w:left w:val="none" w:sz="0" w:space="0" w:color="auto"/>
        <w:bottom w:val="none" w:sz="0" w:space="0" w:color="auto"/>
        <w:right w:val="none" w:sz="0" w:space="0" w:color="auto"/>
      </w:divBdr>
    </w:div>
    <w:div w:id="1143740185">
      <w:bodyDiv w:val="1"/>
      <w:marLeft w:val="0"/>
      <w:marRight w:val="0"/>
      <w:marTop w:val="0"/>
      <w:marBottom w:val="0"/>
      <w:divBdr>
        <w:top w:val="none" w:sz="0" w:space="0" w:color="auto"/>
        <w:left w:val="none" w:sz="0" w:space="0" w:color="auto"/>
        <w:bottom w:val="none" w:sz="0" w:space="0" w:color="auto"/>
        <w:right w:val="none" w:sz="0" w:space="0" w:color="auto"/>
      </w:divBdr>
    </w:div>
    <w:div w:id="1183469294">
      <w:bodyDiv w:val="1"/>
      <w:marLeft w:val="0"/>
      <w:marRight w:val="0"/>
      <w:marTop w:val="0"/>
      <w:marBottom w:val="0"/>
      <w:divBdr>
        <w:top w:val="none" w:sz="0" w:space="0" w:color="auto"/>
        <w:left w:val="none" w:sz="0" w:space="0" w:color="auto"/>
        <w:bottom w:val="none" w:sz="0" w:space="0" w:color="auto"/>
        <w:right w:val="none" w:sz="0" w:space="0" w:color="auto"/>
      </w:divBdr>
    </w:div>
    <w:div w:id="1244997393">
      <w:bodyDiv w:val="1"/>
      <w:marLeft w:val="0"/>
      <w:marRight w:val="0"/>
      <w:marTop w:val="0"/>
      <w:marBottom w:val="0"/>
      <w:divBdr>
        <w:top w:val="none" w:sz="0" w:space="0" w:color="auto"/>
        <w:left w:val="none" w:sz="0" w:space="0" w:color="auto"/>
        <w:bottom w:val="none" w:sz="0" w:space="0" w:color="auto"/>
        <w:right w:val="none" w:sz="0" w:space="0" w:color="auto"/>
      </w:divBdr>
    </w:div>
    <w:div w:id="1297955001">
      <w:bodyDiv w:val="1"/>
      <w:marLeft w:val="0"/>
      <w:marRight w:val="0"/>
      <w:marTop w:val="0"/>
      <w:marBottom w:val="0"/>
      <w:divBdr>
        <w:top w:val="none" w:sz="0" w:space="0" w:color="auto"/>
        <w:left w:val="none" w:sz="0" w:space="0" w:color="auto"/>
        <w:bottom w:val="none" w:sz="0" w:space="0" w:color="auto"/>
        <w:right w:val="none" w:sz="0" w:space="0" w:color="auto"/>
      </w:divBdr>
    </w:div>
    <w:div w:id="1315642263">
      <w:bodyDiv w:val="1"/>
      <w:marLeft w:val="0"/>
      <w:marRight w:val="0"/>
      <w:marTop w:val="0"/>
      <w:marBottom w:val="0"/>
      <w:divBdr>
        <w:top w:val="none" w:sz="0" w:space="0" w:color="auto"/>
        <w:left w:val="none" w:sz="0" w:space="0" w:color="auto"/>
        <w:bottom w:val="none" w:sz="0" w:space="0" w:color="auto"/>
        <w:right w:val="none" w:sz="0" w:space="0" w:color="auto"/>
      </w:divBdr>
    </w:div>
    <w:div w:id="1325859427">
      <w:bodyDiv w:val="1"/>
      <w:marLeft w:val="0"/>
      <w:marRight w:val="0"/>
      <w:marTop w:val="0"/>
      <w:marBottom w:val="0"/>
      <w:divBdr>
        <w:top w:val="none" w:sz="0" w:space="0" w:color="auto"/>
        <w:left w:val="none" w:sz="0" w:space="0" w:color="auto"/>
        <w:bottom w:val="none" w:sz="0" w:space="0" w:color="auto"/>
        <w:right w:val="none" w:sz="0" w:space="0" w:color="auto"/>
      </w:divBdr>
    </w:div>
    <w:div w:id="1342396491">
      <w:bodyDiv w:val="1"/>
      <w:marLeft w:val="0"/>
      <w:marRight w:val="0"/>
      <w:marTop w:val="0"/>
      <w:marBottom w:val="0"/>
      <w:divBdr>
        <w:top w:val="none" w:sz="0" w:space="0" w:color="auto"/>
        <w:left w:val="none" w:sz="0" w:space="0" w:color="auto"/>
        <w:bottom w:val="none" w:sz="0" w:space="0" w:color="auto"/>
        <w:right w:val="none" w:sz="0" w:space="0" w:color="auto"/>
      </w:divBdr>
    </w:div>
    <w:div w:id="1385638915">
      <w:bodyDiv w:val="1"/>
      <w:marLeft w:val="0"/>
      <w:marRight w:val="0"/>
      <w:marTop w:val="0"/>
      <w:marBottom w:val="0"/>
      <w:divBdr>
        <w:top w:val="none" w:sz="0" w:space="0" w:color="auto"/>
        <w:left w:val="none" w:sz="0" w:space="0" w:color="auto"/>
        <w:bottom w:val="none" w:sz="0" w:space="0" w:color="auto"/>
        <w:right w:val="none" w:sz="0" w:space="0" w:color="auto"/>
      </w:divBdr>
    </w:div>
    <w:div w:id="1430739768">
      <w:bodyDiv w:val="1"/>
      <w:marLeft w:val="0"/>
      <w:marRight w:val="0"/>
      <w:marTop w:val="0"/>
      <w:marBottom w:val="0"/>
      <w:divBdr>
        <w:top w:val="none" w:sz="0" w:space="0" w:color="auto"/>
        <w:left w:val="none" w:sz="0" w:space="0" w:color="auto"/>
        <w:bottom w:val="none" w:sz="0" w:space="0" w:color="auto"/>
        <w:right w:val="none" w:sz="0" w:space="0" w:color="auto"/>
      </w:divBdr>
    </w:div>
    <w:div w:id="1446117868">
      <w:bodyDiv w:val="1"/>
      <w:marLeft w:val="0"/>
      <w:marRight w:val="0"/>
      <w:marTop w:val="0"/>
      <w:marBottom w:val="0"/>
      <w:divBdr>
        <w:top w:val="none" w:sz="0" w:space="0" w:color="auto"/>
        <w:left w:val="none" w:sz="0" w:space="0" w:color="auto"/>
        <w:bottom w:val="none" w:sz="0" w:space="0" w:color="auto"/>
        <w:right w:val="none" w:sz="0" w:space="0" w:color="auto"/>
      </w:divBdr>
    </w:div>
    <w:div w:id="1532569179">
      <w:bodyDiv w:val="1"/>
      <w:marLeft w:val="0"/>
      <w:marRight w:val="0"/>
      <w:marTop w:val="0"/>
      <w:marBottom w:val="0"/>
      <w:divBdr>
        <w:top w:val="none" w:sz="0" w:space="0" w:color="auto"/>
        <w:left w:val="none" w:sz="0" w:space="0" w:color="auto"/>
        <w:bottom w:val="none" w:sz="0" w:space="0" w:color="auto"/>
        <w:right w:val="none" w:sz="0" w:space="0" w:color="auto"/>
      </w:divBdr>
    </w:div>
    <w:div w:id="1539048873">
      <w:bodyDiv w:val="1"/>
      <w:marLeft w:val="0"/>
      <w:marRight w:val="0"/>
      <w:marTop w:val="0"/>
      <w:marBottom w:val="0"/>
      <w:divBdr>
        <w:top w:val="none" w:sz="0" w:space="0" w:color="auto"/>
        <w:left w:val="none" w:sz="0" w:space="0" w:color="auto"/>
        <w:bottom w:val="none" w:sz="0" w:space="0" w:color="auto"/>
        <w:right w:val="none" w:sz="0" w:space="0" w:color="auto"/>
      </w:divBdr>
    </w:div>
    <w:div w:id="1624193352">
      <w:bodyDiv w:val="1"/>
      <w:marLeft w:val="0"/>
      <w:marRight w:val="0"/>
      <w:marTop w:val="0"/>
      <w:marBottom w:val="0"/>
      <w:divBdr>
        <w:top w:val="none" w:sz="0" w:space="0" w:color="auto"/>
        <w:left w:val="none" w:sz="0" w:space="0" w:color="auto"/>
        <w:bottom w:val="none" w:sz="0" w:space="0" w:color="auto"/>
        <w:right w:val="none" w:sz="0" w:space="0" w:color="auto"/>
      </w:divBdr>
    </w:div>
    <w:div w:id="1656953408">
      <w:bodyDiv w:val="1"/>
      <w:marLeft w:val="0"/>
      <w:marRight w:val="0"/>
      <w:marTop w:val="0"/>
      <w:marBottom w:val="0"/>
      <w:divBdr>
        <w:top w:val="none" w:sz="0" w:space="0" w:color="auto"/>
        <w:left w:val="none" w:sz="0" w:space="0" w:color="auto"/>
        <w:bottom w:val="none" w:sz="0" w:space="0" w:color="auto"/>
        <w:right w:val="none" w:sz="0" w:space="0" w:color="auto"/>
      </w:divBdr>
    </w:div>
    <w:div w:id="1659961449">
      <w:bodyDiv w:val="1"/>
      <w:marLeft w:val="0"/>
      <w:marRight w:val="0"/>
      <w:marTop w:val="0"/>
      <w:marBottom w:val="0"/>
      <w:divBdr>
        <w:top w:val="none" w:sz="0" w:space="0" w:color="auto"/>
        <w:left w:val="none" w:sz="0" w:space="0" w:color="auto"/>
        <w:bottom w:val="none" w:sz="0" w:space="0" w:color="auto"/>
        <w:right w:val="none" w:sz="0" w:space="0" w:color="auto"/>
      </w:divBdr>
    </w:div>
    <w:div w:id="1687902695">
      <w:bodyDiv w:val="1"/>
      <w:marLeft w:val="0"/>
      <w:marRight w:val="0"/>
      <w:marTop w:val="0"/>
      <w:marBottom w:val="0"/>
      <w:divBdr>
        <w:top w:val="none" w:sz="0" w:space="0" w:color="auto"/>
        <w:left w:val="none" w:sz="0" w:space="0" w:color="auto"/>
        <w:bottom w:val="none" w:sz="0" w:space="0" w:color="auto"/>
        <w:right w:val="none" w:sz="0" w:space="0" w:color="auto"/>
      </w:divBdr>
    </w:div>
    <w:div w:id="1771462057">
      <w:bodyDiv w:val="1"/>
      <w:marLeft w:val="0"/>
      <w:marRight w:val="0"/>
      <w:marTop w:val="0"/>
      <w:marBottom w:val="0"/>
      <w:divBdr>
        <w:top w:val="none" w:sz="0" w:space="0" w:color="auto"/>
        <w:left w:val="none" w:sz="0" w:space="0" w:color="auto"/>
        <w:bottom w:val="none" w:sz="0" w:space="0" w:color="auto"/>
        <w:right w:val="none" w:sz="0" w:space="0" w:color="auto"/>
      </w:divBdr>
    </w:div>
    <w:div w:id="1824469056">
      <w:bodyDiv w:val="1"/>
      <w:marLeft w:val="0"/>
      <w:marRight w:val="0"/>
      <w:marTop w:val="0"/>
      <w:marBottom w:val="0"/>
      <w:divBdr>
        <w:top w:val="none" w:sz="0" w:space="0" w:color="auto"/>
        <w:left w:val="none" w:sz="0" w:space="0" w:color="auto"/>
        <w:bottom w:val="none" w:sz="0" w:space="0" w:color="auto"/>
        <w:right w:val="none" w:sz="0" w:space="0" w:color="auto"/>
      </w:divBdr>
    </w:div>
    <w:div w:id="1939021051">
      <w:bodyDiv w:val="1"/>
      <w:marLeft w:val="0"/>
      <w:marRight w:val="0"/>
      <w:marTop w:val="0"/>
      <w:marBottom w:val="0"/>
      <w:divBdr>
        <w:top w:val="none" w:sz="0" w:space="0" w:color="auto"/>
        <w:left w:val="none" w:sz="0" w:space="0" w:color="auto"/>
        <w:bottom w:val="none" w:sz="0" w:space="0" w:color="auto"/>
        <w:right w:val="none" w:sz="0" w:space="0" w:color="auto"/>
      </w:divBdr>
    </w:div>
    <w:div w:id="1939288346">
      <w:bodyDiv w:val="1"/>
      <w:marLeft w:val="0"/>
      <w:marRight w:val="0"/>
      <w:marTop w:val="0"/>
      <w:marBottom w:val="0"/>
      <w:divBdr>
        <w:top w:val="none" w:sz="0" w:space="0" w:color="auto"/>
        <w:left w:val="none" w:sz="0" w:space="0" w:color="auto"/>
        <w:bottom w:val="none" w:sz="0" w:space="0" w:color="auto"/>
        <w:right w:val="none" w:sz="0" w:space="0" w:color="auto"/>
      </w:divBdr>
    </w:div>
    <w:div w:id="1943144738">
      <w:bodyDiv w:val="1"/>
      <w:marLeft w:val="0"/>
      <w:marRight w:val="0"/>
      <w:marTop w:val="0"/>
      <w:marBottom w:val="0"/>
      <w:divBdr>
        <w:top w:val="none" w:sz="0" w:space="0" w:color="auto"/>
        <w:left w:val="none" w:sz="0" w:space="0" w:color="auto"/>
        <w:bottom w:val="none" w:sz="0" w:space="0" w:color="auto"/>
        <w:right w:val="none" w:sz="0" w:space="0" w:color="auto"/>
      </w:divBdr>
    </w:div>
    <w:div w:id="1951548840">
      <w:bodyDiv w:val="1"/>
      <w:marLeft w:val="0"/>
      <w:marRight w:val="0"/>
      <w:marTop w:val="0"/>
      <w:marBottom w:val="0"/>
      <w:divBdr>
        <w:top w:val="none" w:sz="0" w:space="0" w:color="auto"/>
        <w:left w:val="none" w:sz="0" w:space="0" w:color="auto"/>
        <w:bottom w:val="none" w:sz="0" w:space="0" w:color="auto"/>
        <w:right w:val="none" w:sz="0" w:space="0" w:color="auto"/>
      </w:divBdr>
    </w:div>
    <w:div w:id="1985886789">
      <w:bodyDiv w:val="1"/>
      <w:marLeft w:val="0"/>
      <w:marRight w:val="0"/>
      <w:marTop w:val="0"/>
      <w:marBottom w:val="0"/>
      <w:divBdr>
        <w:top w:val="none" w:sz="0" w:space="0" w:color="auto"/>
        <w:left w:val="none" w:sz="0" w:space="0" w:color="auto"/>
        <w:bottom w:val="none" w:sz="0" w:space="0" w:color="auto"/>
        <w:right w:val="none" w:sz="0" w:space="0" w:color="auto"/>
      </w:divBdr>
    </w:div>
    <w:div w:id="2014912174">
      <w:bodyDiv w:val="1"/>
      <w:marLeft w:val="0"/>
      <w:marRight w:val="0"/>
      <w:marTop w:val="0"/>
      <w:marBottom w:val="0"/>
      <w:divBdr>
        <w:top w:val="none" w:sz="0" w:space="0" w:color="auto"/>
        <w:left w:val="none" w:sz="0" w:space="0" w:color="auto"/>
        <w:bottom w:val="none" w:sz="0" w:space="0" w:color="auto"/>
        <w:right w:val="none" w:sz="0" w:space="0" w:color="auto"/>
      </w:divBdr>
    </w:div>
    <w:div w:id="2044474819">
      <w:bodyDiv w:val="1"/>
      <w:marLeft w:val="0"/>
      <w:marRight w:val="0"/>
      <w:marTop w:val="0"/>
      <w:marBottom w:val="0"/>
      <w:divBdr>
        <w:top w:val="none" w:sz="0" w:space="0" w:color="auto"/>
        <w:left w:val="none" w:sz="0" w:space="0" w:color="auto"/>
        <w:bottom w:val="none" w:sz="0" w:space="0" w:color="auto"/>
        <w:right w:val="none" w:sz="0" w:space="0" w:color="auto"/>
      </w:divBdr>
    </w:div>
    <w:div w:id="2051413946">
      <w:bodyDiv w:val="1"/>
      <w:marLeft w:val="0"/>
      <w:marRight w:val="0"/>
      <w:marTop w:val="0"/>
      <w:marBottom w:val="0"/>
      <w:divBdr>
        <w:top w:val="none" w:sz="0" w:space="0" w:color="auto"/>
        <w:left w:val="none" w:sz="0" w:space="0" w:color="auto"/>
        <w:bottom w:val="none" w:sz="0" w:space="0" w:color="auto"/>
        <w:right w:val="none" w:sz="0" w:space="0" w:color="auto"/>
      </w:divBdr>
    </w:div>
    <w:div w:id="2109159638">
      <w:bodyDiv w:val="1"/>
      <w:marLeft w:val="0"/>
      <w:marRight w:val="0"/>
      <w:marTop w:val="0"/>
      <w:marBottom w:val="0"/>
      <w:divBdr>
        <w:top w:val="none" w:sz="0" w:space="0" w:color="auto"/>
        <w:left w:val="none" w:sz="0" w:space="0" w:color="auto"/>
        <w:bottom w:val="none" w:sz="0" w:space="0" w:color="auto"/>
        <w:right w:val="none" w:sz="0" w:space="0" w:color="auto"/>
      </w:divBdr>
    </w:div>
    <w:div w:id="211702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3.xml"/><Relationship Id="rId18" Type="http://schemas.openxmlformats.org/officeDocument/2006/relationships/hyperlink" Target="http://www.mtsu.edu/consumer"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hyperlink" Target="http://www.conference-board.org" TargetMode="Externa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hyperlink" Target="mailto:Tim.Graeff@mtsu.edu"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4.xml"/><Relationship Id="rId22" Type="http://schemas.openxmlformats.org/officeDocument/2006/relationships/chart" Target="charts/chart7.xml"/></Relationships>
</file>

<file path=word/_rels/footnotes.xml.rels><?xml version="1.0" encoding="UTF-8" standalone="yes"?>
<Relationships xmlns="http://schemas.openxmlformats.org/package/2006/relationships"><Relationship Id="rId1" Type="http://schemas.openxmlformats.org/officeDocument/2006/relationships/hyperlink" Target="http://www.conference-board.org"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Middle</a:t>
            </a:r>
            <a:r>
              <a:rPr lang="en-US" baseline="0"/>
              <a:t> Tennessee Consumer Outlook Index</a:t>
            </a:r>
            <a:endParaRPr lang="en-US"/>
          </a:p>
        </c:rich>
      </c:tx>
      <c:overlay val="0"/>
    </c:title>
    <c:autoTitleDeleted val="0"/>
    <c:plotArea>
      <c:layout/>
      <c:lineChart>
        <c:grouping val="standard"/>
        <c:varyColors val="0"/>
        <c:ser>
          <c:idx val="0"/>
          <c:order val="0"/>
          <c:tx>
            <c:strRef>
              <c:f>Sheet1!$A$2</c:f>
              <c:strCache>
                <c:ptCount val="1"/>
                <c:pt idx="0">
                  <c:v>Overall Outlook Index</c:v>
                </c:pt>
              </c:strCache>
            </c:strRef>
          </c:tx>
          <c:spPr>
            <a:ln w="12700">
              <a:solidFill>
                <a:schemeClr val="tx1"/>
              </a:solidFill>
            </a:ln>
          </c:spPr>
          <c:marker>
            <c:symbol val="diamond"/>
            <c:size val="10"/>
            <c:spPr>
              <a:solidFill>
                <a:srgbClr val="0070C0"/>
              </a:solidFill>
              <a:ln>
                <a:solidFill>
                  <a:prstClr val="black"/>
                </a:solidFill>
              </a:ln>
            </c:spPr>
          </c:marker>
          <c:cat>
            <c:strRef>
              <c:f>Sheet1!$B$1:$L$1</c:f>
              <c:strCache>
                <c:ptCount val="11"/>
                <c:pt idx="0">
                  <c:v>Ap10</c:v>
                </c:pt>
                <c:pt idx="1">
                  <c:v>Ju10</c:v>
                </c:pt>
                <c:pt idx="2">
                  <c:v>Se10</c:v>
                </c:pt>
                <c:pt idx="3">
                  <c:v>De10</c:v>
                </c:pt>
                <c:pt idx="4">
                  <c:v>Fe11</c:v>
                </c:pt>
                <c:pt idx="5">
                  <c:v>Ap11</c:v>
                </c:pt>
                <c:pt idx="6">
                  <c:v>Ma11</c:v>
                </c:pt>
                <c:pt idx="7">
                  <c:v>Se11</c:v>
                </c:pt>
                <c:pt idx="8">
                  <c:v>De11</c:v>
                </c:pt>
                <c:pt idx="9">
                  <c:v>Ja12</c:v>
                </c:pt>
                <c:pt idx="10">
                  <c:v>Ap12</c:v>
                </c:pt>
              </c:strCache>
            </c:strRef>
          </c:cat>
          <c:val>
            <c:numRef>
              <c:f>Sheet1!$B$2:$L$2</c:f>
              <c:numCache>
                <c:formatCode>General</c:formatCode>
                <c:ptCount val="11"/>
                <c:pt idx="0">
                  <c:v>99</c:v>
                </c:pt>
                <c:pt idx="1">
                  <c:v>102</c:v>
                </c:pt>
                <c:pt idx="2">
                  <c:v>76</c:v>
                </c:pt>
                <c:pt idx="3">
                  <c:v>69</c:v>
                </c:pt>
                <c:pt idx="4">
                  <c:v>129</c:v>
                </c:pt>
                <c:pt idx="5">
                  <c:v>54</c:v>
                </c:pt>
                <c:pt idx="6">
                  <c:v>63</c:v>
                </c:pt>
                <c:pt idx="7">
                  <c:v>27</c:v>
                </c:pt>
                <c:pt idx="8">
                  <c:v>112</c:v>
                </c:pt>
                <c:pt idx="9">
                  <c:v>151</c:v>
                </c:pt>
                <c:pt idx="10">
                  <c:v>184</c:v>
                </c:pt>
              </c:numCache>
            </c:numRef>
          </c:val>
          <c:smooth val="0"/>
        </c:ser>
        <c:ser>
          <c:idx val="1"/>
          <c:order val="1"/>
          <c:tx>
            <c:strRef>
              <c:f>Sheet1!$A$3</c:f>
              <c:strCache>
                <c:ptCount val="1"/>
                <c:pt idx="0">
                  <c:v>Current Sit. Index</c:v>
                </c:pt>
              </c:strCache>
            </c:strRef>
          </c:tx>
          <c:spPr>
            <a:ln w="12700">
              <a:solidFill>
                <a:schemeClr val="tx1"/>
              </a:solidFill>
            </a:ln>
          </c:spPr>
          <c:marker>
            <c:symbol val="square"/>
            <c:size val="10"/>
            <c:spPr>
              <a:solidFill>
                <a:srgbClr val="C00000"/>
              </a:solidFill>
              <a:ln>
                <a:solidFill>
                  <a:prstClr val="black"/>
                </a:solidFill>
              </a:ln>
            </c:spPr>
          </c:marker>
          <c:cat>
            <c:strRef>
              <c:f>Sheet1!$B$1:$L$1</c:f>
              <c:strCache>
                <c:ptCount val="11"/>
                <c:pt idx="0">
                  <c:v>Ap10</c:v>
                </c:pt>
                <c:pt idx="1">
                  <c:v>Ju10</c:v>
                </c:pt>
                <c:pt idx="2">
                  <c:v>Se10</c:v>
                </c:pt>
                <c:pt idx="3">
                  <c:v>De10</c:v>
                </c:pt>
                <c:pt idx="4">
                  <c:v>Fe11</c:v>
                </c:pt>
                <c:pt idx="5">
                  <c:v>Ap11</c:v>
                </c:pt>
                <c:pt idx="6">
                  <c:v>Ma11</c:v>
                </c:pt>
                <c:pt idx="7">
                  <c:v>Se11</c:v>
                </c:pt>
                <c:pt idx="8">
                  <c:v>De11</c:v>
                </c:pt>
                <c:pt idx="9">
                  <c:v>Ja12</c:v>
                </c:pt>
                <c:pt idx="10">
                  <c:v>Ap12</c:v>
                </c:pt>
              </c:strCache>
            </c:strRef>
          </c:cat>
          <c:val>
            <c:numRef>
              <c:f>Sheet1!$B$3:$L$3</c:f>
              <c:numCache>
                <c:formatCode>General</c:formatCode>
                <c:ptCount val="11"/>
                <c:pt idx="0">
                  <c:v>-99</c:v>
                </c:pt>
                <c:pt idx="1">
                  <c:v>-86</c:v>
                </c:pt>
                <c:pt idx="2">
                  <c:v>-93</c:v>
                </c:pt>
                <c:pt idx="3">
                  <c:v>-90</c:v>
                </c:pt>
                <c:pt idx="4">
                  <c:v>-74</c:v>
                </c:pt>
                <c:pt idx="5">
                  <c:v>-83</c:v>
                </c:pt>
                <c:pt idx="6">
                  <c:v>-80</c:v>
                </c:pt>
                <c:pt idx="7">
                  <c:v>-86</c:v>
                </c:pt>
                <c:pt idx="8">
                  <c:v>-64</c:v>
                </c:pt>
                <c:pt idx="9">
                  <c:v>-55</c:v>
                </c:pt>
                <c:pt idx="10">
                  <c:v>-24</c:v>
                </c:pt>
              </c:numCache>
            </c:numRef>
          </c:val>
          <c:smooth val="0"/>
        </c:ser>
        <c:ser>
          <c:idx val="2"/>
          <c:order val="2"/>
          <c:tx>
            <c:strRef>
              <c:f>Sheet1!$A$4</c:f>
              <c:strCache>
                <c:ptCount val="1"/>
                <c:pt idx="0">
                  <c:v>Future Exp. Index</c:v>
                </c:pt>
              </c:strCache>
            </c:strRef>
          </c:tx>
          <c:spPr>
            <a:ln w="12700">
              <a:solidFill>
                <a:prstClr val="black"/>
              </a:solidFill>
            </a:ln>
          </c:spPr>
          <c:marker>
            <c:symbol val="triangle"/>
            <c:size val="10"/>
            <c:spPr>
              <a:solidFill>
                <a:srgbClr val="00B050"/>
              </a:solidFill>
              <a:ln>
                <a:solidFill>
                  <a:prstClr val="black"/>
                </a:solidFill>
              </a:ln>
            </c:spPr>
          </c:marker>
          <c:cat>
            <c:strRef>
              <c:f>Sheet1!$B$1:$L$1</c:f>
              <c:strCache>
                <c:ptCount val="11"/>
                <c:pt idx="0">
                  <c:v>Ap10</c:v>
                </c:pt>
                <c:pt idx="1">
                  <c:v>Ju10</c:v>
                </c:pt>
                <c:pt idx="2">
                  <c:v>Se10</c:v>
                </c:pt>
                <c:pt idx="3">
                  <c:v>De10</c:v>
                </c:pt>
                <c:pt idx="4">
                  <c:v>Fe11</c:v>
                </c:pt>
                <c:pt idx="5">
                  <c:v>Ap11</c:v>
                </c:pt>
                <c:pt idx="6">
                  <c:v>Ma11</c:v>
                </c:pt>
                <c:pt idx="7">
                  <c:v>Se11</c:v>
                </c:pt>
                <c:pt idx="8">
                  <c:v>De11</c:v>
                </c:pt>
                <c:pt idx="9">
                  <c:v>Ja12</c:v>
                </c:pt>
                <c:pt idx="10">
                  <c:v>Ap12</c:v>
                </c:pt>
              </c:strCache>
            </c:strRef>
          </c:cat>
          <c:val>
            <c:numRef>
              <c:f>Sheet1!$B$4:$L$4</c:f>
              <c:numCache>
                <c:formatCode>General</c:formatCode>
                <c:ptCount val="11"/>
                <c:pt idx="0">
                  <c:v>117</c:v>
                </c:pt>
                <c:pt idx="1">
                  <c:v>98</c:v>
                </c:pt>
                <c:pt idx="2">
                  <c:v>99</c:v>
                </c:pt>
                <c:pt idx="3">
                  <c:v>86</c:v>
                </c:pt>
                <c:pt idx="4">
                  <c:v>123</c:v>
                </c:pt>
                <c:pt idx="5">
                  <c:v>75</c:v>
                </c:pt>
                <c:pt idx="6">
                  <c:v>99</c:v>
                </c:pt>
                <c:pt idx="7">
                  <c:v>59</c:v>
                </c:pt>
                <c:pt idx="8">
                  <c:v>97</c:v>
                </c:pt>
                <c:pt idx="9">
                  <c:v>125</c:v>
                </c:pt>
                <c:pt idx="10">
                  <c:v>115</c:v>
                </c:pt>
              </c:numCache>
            </c:numRef>
          </c:val>
          <c:smooth val="0"/>
        </c:ser>
        <c:ser>
          <c:idx val="3"/>
          <c:order val="3"/>
          <c:tx>
            <c:strRef>
              <c:f>Sheet1!$A$5</c:f>
              <c:strCache>
                <c:ptCount val="1"/>
                <c:pt idx="0">
                  <c:v>Purchasing Index</c:v>
                </c:pt>
              </c:strCache>
            </c:strRef>
          </c:tx>
          <c:spPr>
            <a:ln w="12700">
              <a:solidFill>
                <a:prstClr val="black"/>
              </a:solidFill>
            </a:ln>
          </c:spPr>
          <c:marker>
            <c:symbol val="circle"/>
            <c:size val="10"/>
            <c:spPr>
              <a:solidFill>
                <a:srgbClr val="7030A0"/>
              </a:solidFill>
              <a:ln w="12700">
                <a:solidFill>
                  <a:schemeClr val="tx1"/>
                </a:solidFill>
              </a:ln>
            </c:spPr>
          </c:marker>
          <c:cat>
            <c:strRef>
              <c:f>Sheet1!$B$1:$L$1</c:f>
              <c:strCache>
                <c:ptCount val="11"/>
                <c:pt idx="0">
                  <c:v>Ap10</c:v>
                </c:pt>
                <c:pt idx="1">
                  <c:v>Ju10</c:v>
                </c:pt>
                <c:pt idx="2">
                  <c:v>Se10</c:v>
                </c:pt>
                <c:pt idx="3">
                  <c:v>De10</c:v>
                </c:pt>
                <c:pt idx="4">
                  <c:v>Fe11</c:v>
                </c:pt>
                <c:pt idx="5">
                  <c:v>Ap11</c:v>
                </c:pt>
                <c:pt idx="6">
                  <c:v>Ma11</c:v>
                </c:pt>
                <c:pt idx="7">
                  <c:v>Se11</c:v>
                </c:pt>
                <c:pt idx="8">
                  <c:v>De11</c:v>
                </c:pt>
                <c:pt idx="9">
                  <c:v>Ja12</c:v>
                </c:pt>
                <c:pt idx="10">
                  <c:v>Ap12</c:v>
                </c:pt>
              </c:strCache>
            </c:strRef>
          </c:cat>
          <c:val>
            <c:numRef>
              <c:f>Sheet1!$B$5:$L$5</c:f>
              <c:numCache>
                <c:formatCode>General</c:formatCode>
                <c:ptCount val="11"/>
                <c:pt idx="0">
                  <c:v>81</c:v>
                </c:pt>
                <c:pt idx="1">
                  <c:v>90</c:v>
                </c:pt>
                <c:pt idx="2">
                  <c:v>70</c:v>
                </c:pt>
                <c:pt idx="3">
                  <c:v>73</c:v>
                </c:pt>
                <c:pt idx="4">
                  <c:v>80</c:v>
                </c:pt>
                <c:pt idx="5">
                  <c:v>62</c:v>
                </c:pt>
                <c:pt idx="6">
                  <c:v>44</c:v>
                </c:pt>
                <c:pt idx="7">
                  <c:v>54</c:v>
                </c:pt>
                <c:pt idx="8">
                  <c:v>79</c:v>
                </c:pt>
                <c:pt idx="9">
                  <c:v>81</c:v>
                </c:pt>
                <c:pt idx="10">
                  <c:v>93</c:v>
                </c:pt>
              </c:numCache>
            </c:numRef>
          </c:val>
          <c:smooth val="0"/>
        </c:ser>
        <c:dLbls>
          <c:showLegendKey val="0"/>
          <c:showVal val="0"/>
          <c:showCatName val="0"/>
          <c:showSerName val="0"/>
          <c:showPercent val="0"/>
          <c:showBubbleSize val="0"/>
        </c:dLbls>
        <c:marker val="1"/>
        <c:smooth val="0"/>
        <c:axId val="186243328"/>
        <c:axId val="186356096"/>
      </c:lineChart>
      <c:catAx>
        <c:axId val="186243328"/>
        <c:scaling>
          <c:orientation val="minMax"/>
        </c:scaling>
        <c:delete val="0"/>
        <c:axPos val="b"/>
        <c:numFmt formatCode="General" sourceLinked="1"/>
        <c:majorTickMark val="out"/>
        <c:minorTickMark val="none"/>
        <c:tickLblPos val="nextTo"/>
        <c:txPr>
          <a:bodyPr/>
          <a:lstStyle/>
          <a:p>
            <a:pPr>
              <a:defRPr sz="1200" b="1">
                <a:latin typeface="Arial" pitchFamily="34" charset="0"/>
                <a:cs typeface="Arial" pitchFamily="34" charset="0"/>
              </a:defRPr>
            </a:pPr>
            <a:endParaRPr lang="en-US"/>
          </a:p>
        </c:txPr>
        <c:crossAx val="186356096"/>
        <c:crosses val="autoZero"/>
        <c:auto val="1"/>
        <c:lblAlgn val="ctr"/>
        <c:lblOffset val="100"/>
        <c:noMultiLvlLbl val="0"/>
      </c:catAx>
      <c:valAx>
        <c:axId val="186356096"/>
        <c:scaling>
          <c:orientation val="minMax"/>
          <c:max val="200"/>
          <c:min val="-150"/>
        </c:scaling>
        <c:delete val="0"/>
        <c:axPos val="l"/>
        <c:majorGridlines/>
        <c:numFmt formatCode="General" sourceLinked="1"/>
        <c:majorTickMark val="out"/>
        <c:minorTickMark val="none"/>
        <c:tickLblPos val="nextTo"/>
        <c:txPr>
          <a:bodyPr/>
          <a:lstStyle/>
          <a:p>
            <a:pPr>
              <a:defRPr b="1">
                <a:latin typeface="Arial" pitchFamily="34" charset="0"/>
                <a:cs typeface="Arial" pitchFamily="34" charset="0"/>
              </a:defRPr>
            </a:pPr>
            <a:endParaRPr lang="en-US"/>
          </a:p>
        </c:txPr>
        <c:crossAx val="186243328"/>
        <c:crosses val="autoZero"/>
        <c:crossBetween val="between"/>
      </c:valAx>
      <c:spPr>
        <a:ln>
          <a:noFill/>
        </a:ln>
      </c:spPr>
    </c:plotArea>
    <c:legend>
      <c:legendPos val="t"/>
      <c:overlay val="0"/>
      <c:txPr>
        <a:bodyPr/>
        <a:lstStyle/>
        <a:p>
          <a:pPr>
            <a:defRPr sz="1400"/>
          </a:pPr>
          <a:endParaRPr lang="en-US"/>
        </a:p>
      </c:txPr>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8" b="1" i="0"/>
            </a:pPr>
            <a:r>
              <a:rPr lang="en-US" sz="1199" b="1" i="0"/>
              <a:t>Do</a:t>
            </a:r>
            <a:r>
              <a:rPr lang="en-US" sz="1199" b="1" i="0" baseline="0"/>
              <a:t> you think that in the next year the overall amount of taxes that you pay will increase, decrease, or stay about the same?</a:t>
            </a:r>
            <a:endParaRPr lang="en-US" sz="1200" b="1" i="0"/>
          </a:p>
        </c:rich>
      </c:tx>
      <c:layout>
        <c:manualLayout>
          <c:xMode val="edge"/>
          <c:yMode val="edge"/>
          <c:x val="0.10462387853692279"/>
          <c:y val="2.3809523809523812E-2"/>
        </c:manualLayout>
      </c:layout>
      <c:overlay val="0"/>
    </c:title>
    <c:autoTitleDeleted val="0"/>
    <c:plotArea>
      <c:layout/>
      <c:barChart>
        <c:barDir val="col"/>
        <c:grouping val="clustered"/>
        <c:varyColors val="0"/>
        <c:ser>
          <c:idx val="0"/>
          <c:order val="0"/>
          <c:tx>
            <c:strRef>
              <c:f>Sheet1!$B$1</c:f>
              <c:strCache>
                <c:ptCount val="1"/>
                <c:pt idx="0">
                  <c:v>Apr'11</c:v>
                </c:pt>
              </c:strCache>
            </c:strRef>
          </c:tx>
          <c:invertIfNegative val="0"/>
          <c:dLbls>
            <c:txPr>
              <a:bodyPr/>
              <a:lstStyle/>
              <a:p>
                <a:pPr>
                  <a:defRPr sz="800"/>
                </a:pPr>
                <a:endParaRPr lang="en-US"/>
              </a:p>
            </c:txPr>
            <c:showLegendKey val="0"/>
            <c:showVal val="1"/>
            <c:showCatName val="0"/>
            <c:showSerName val="0"/>
            <c:showPercent val="0"/>
            <c:showBubbleSize val="0"/>
            <c:showLeaderLines val="0"/>
          </c:dLbls>
          <c:cat>
            <c:strRef>
              <c:f>Sheet1!$A$2:$A$4</c:f>
              <c:strCache>
                <c:ptCount val="3"/>
                <c:pt idx="0">
                  <c:v>Decrease</c:v>
                </c:pt>
                <c:pt idx="1">
                  <c:v>Stay The Same</c:v>
                </c:pt>
                <c:pt idx="2">
                  <c:v>Increase</c:v>
                </c:pt>
              </c:strCache>
            </c:strRef>
          </c:cat>
          <c:val>
            <c:numRef>
              <c:f>Sheet1!$B$2:$B$4</c:f>
              <c:numCache>
                <c:formatCode>0%</c:formatCode>
                <c:ptCount val="3"/>
                <c:pt idx="0">
                  <c:v>0.06</c:v>
                </c:pt>
                <c:pt idx="1">
                  <c:v>0.28000000000000003</c:v>
                </c:pt>
                <c:pt idx="2">
                  <c:v>0.66</c:v>
                </c:pt>
              </c:numCache>
            </c:numRef>
          </c:val>
        </c:ser>
        <c:ser>
          <c:idx val="1"/>
          <c:order val="1"/>
          <c:tx>
            <c:strRef>
              <c:f>Sheet1!$C$1</c:f>
              <c:strCache>
                <c:ptCount val="1"/>
                <c:pt idx="0">
                  <c:v>May'11</c:v>
                </c:pt>
              </c:strCache>
            </c:strRef>
          </c:tx>
          <c:spPr>
            <a:solidFill>
              <a:schemeClr val="accent2">
                <a:lumMod val="60000"/>
                <a:lumOff val="40000"/>
              </a:schemeClr>
            </a:solidFill>
          </c:spPr>
          <c:invertIfNegative val="0"/>
          <c:dLbls>
            <c:txPr>
              <a:bodyPr/>
              <a:lstStyle/>
              <a:p>
                <a:pPr>
                  <a:defRPr sz="800"/>
                </a:pPr>
                <a:endParaRPr lang="en-US"/>
              </a:p>
            </c:txPr>
            <c:showLegendKey val="0"/>
            <c:showVal val="1"/>
            <c:showCatName val="0"/>
            <c:showSerName val="0"/>
            <c:showPercent val="0"/>
            <c:showBubbleSize val="0"/>
            <c:showLeaderLines val="0"/>
          </c:dLbls>
          <c:cat>
            <c:strRef>
              <c:f>Sheet1!$A$2:$A$4</c:f>
              <c:strCache>
                <c:ptCount val="3"/>
                <c:pt idx="0">
                  <c:v>Decrease</c:v>
                </c:pt>
                <c:pt idx="1">
                  <c:v>Stay The Same</c:v>
                </c:pt>
                <c:pt idx="2">
                  <c:v>Increase</c:v>
                </c:pt>
              </c:strCache>
            </c:strRef>
          </c:cat>
          <c:val>
            <c:numRef>
              <c:f>Sheet1!$C$2:$C$4</c:f>
              <c:numCache>
                <c:formatCode>0%</c:formatCode>
                <c:ptCount val="3"/>
                <c:pt idx="0">
                  <c:v>0.04</c:v>
                </c:pt>
                <c:pt idx="1">
                  <c:v>0.33</c:v>
                </c:pt>
                <c:pt idx="2">
                  <c:v>0.63</c:v>
                </c:pt>
              </c:numCache>
            </c:numRef>
          </c:val>
        </c:ser>
        <c:ser>
          <c:idx val="2"/>
          <c:order val="2"/>
          <c:tx>
            <c:strRef>
              <c:f>Sheet1!$D$1</c:f>
              <c:strCache>
                <c:ptCount val="1"/>
                <c:pt idx="0">
                  <c:v>Sept'11</c:v>
                </c:pt>
              </c:strCache>
            </c:strRef>
          </c:tx>
          <c:invertIfNegative val="0"/>
          <c:dLbls>
            <c:txPr>
              <a:bodyPr/>
              <a:lstStyle/>
              <a:p>
                <a:pPr>
                  <a:defRPr sz="800"/>
                </a:pPr>
                <a:endParaRPr lang="en-US"/>
              </a:p>
            </c:txPr>
            <c:showLegendKey val="0"/>
            <c:showVal val="1"/>
            <c:showCatName val="0"/>
            <c:showSerName val="0"/>
            <c:showPercent val="0"/>
            <c:showBubbleSize val="0"/>
            <c:showLeaderLines val="0"/>
          </c:dLbls>
          <c:cat>
            <c:strRef>
              <c:f>Sheet1!$A$2:$A$4</c:f>
              <c:strCache>
                <c:ptCount val="3"/>
                <c:pt idx="0">
                  <c:v>Decrease</c:v>
                </c:pt>
                <c:pt idx="1">
                  <c:v>Stay The Same</c:v>
                </c:pt>
                <c:pt idx="2">
                  <c:v>Increase</c:v>
                </c:pt>
              </c:strCache>
            </c:strRef>
          </c:cat>
          <c:val>
            <c:numRef>
              <c:f>Sheet1!$D$2:$D$4</c:f>
              <c:numCache>
                <c:formatCode>0%</c:formatCode>
                <c:ptCount val="3"/>
                <c:pt idx="0">
                  <c:v>0.1</c:v>
                </c:pt>
                <c:pt idx="1">
                  <c:v>0.35</c:v>
                </c:pt>
                <c:pt idx="2">
                  <c:v>0.55000000000000004</c:v>
                </c:pt>
              </c:numCache>
            </c:numRef>
          </c:val>
        </c:ser>
        <c:ser>
          <c:idx val="3"/>
          <c:order val="3"/>
          <c:tx>
            <c:strRef>
              <c:f>Sheet1!$E$1</c:f>
              <c:strCache>
                <c:ptCount val="1"/>
                <c:pt idx="0">
                  <c:v>Dec'11</c:v>
                </c:pt>
              </c:strCache>
            </c:strRef>
          </c:tx>
          <c:spPr>
            <a:solidFill>
              <a:srgbClr val="C00000"/>
            </a:solidFill>
          </c:spPr>
          <c:invertIfNegative val="0"/>
          <c:dLbls>
            <c:txPr>
              <a:bodyPr/>
              <a:lstStyle/>
              <a:p>
                <a:pPr>
                  <a:defRPr sz="800"/>
                </a:pPr>
                <a:endParaRPr lang="en-US"/>
              </a:p>
            </c:txPr>
            <c:showLegendKey val="0"/>
            <c:showVal val="1"/>
            <c:showCatName val="0"/>
            <c:showSerName val="0"/>
            <c:showPercent val="0"/>
            <c:showBubbleSize val="0"/>
            <c:showLeaderLines val="0"/>
          </c:dLbls>
          <c:cat>
            <c:strRef>
              <c:f>Sheet1!$A$2:$A$4</c:f>
              <c:strCache>
                <c:ptCount val="3"/>
                <c:pt idx="0">
                  <c:v>Decrease</c:v>
                </c:pt>
                <c:pt idx="1">
                  <c:v>Stay The Same</c:v>
                </c:pt>
                <c:pt idx="2">
                  <c:v>Increase</c:v>
                </c:pt>
              </c:strCache>
            </c:strRef>
          </c:cat>
          <c:val>
            <c:numRef>
              <c:f>Sheet1!$E$2:$E$4</c:f>
              <c:numCache>
                <c:formatCode>0%</c:formatCode>
                <c:ptCount val="3"/>
                <c:pt idx="0">
                  <c:v>0.08</c:v>
                </c:pt>
                <c:pt idx="1">
                  <c:v>0.37</c:v>
                </c:pt>
                <c:pt idx="2">
                  <c:v>0.54</c:v>
                </c:pt>
              </c:numCache>
            </c:numRef>
          </c:val>
        </c:ser>
        <c:ser>
          <c:idx val="4"/>
          <c:order val="4"/>
          <c:tx>
            <c:strRef>
              <c:f>Sheet1!$F$1</c:f>
              <c:strCache>
                <c:ptCount val="1"/>
                <c:pt idx="0">
                  <c:v>Jan'12</c:v>
                </c:pt>
              </c:strCache>
            </c:strRef>
          </c:tx>
          <c:invertIfNegative val="0"/>
          <c:dLbls>
            <c:txPr>
              <a:bodyPr/>
              <a:lstStyle/>
              <a:p>
                <a:pPr>
                  <a:defRPr sz="800"/>
                </a:pPr>
                <a:endParaRPr lang="en-US"/>
              </a:p>
            </c:txPr>
            <c:showLegendKey val="0"/>
            <c:showVal val="1"/>
            <c:showCatName val="0"/>
            <c:showSerName val="0"/>
            <c:showPercent val="0"/>
            <c:showBubbleSize val="0"/>
            <c:showLeaderLines val="0"/>
          </c:dLbls>
          <c:cat>
            <c:strRef>
              <c:f>Sheet1!$A$2:$A$4</c:f>
              <c:strCache>
                <c:ptCount val="3"/>
                <c:pt idx="0">
                  <c:v>Decrease</c:v>
                </c:pt>
                <c:pt idx="1">
                  <c:v>Stay The Same</c:v>
                </c:pt>
                <c:pt idx="2">
                  <c:v>Increase</c:v>
                </c:pt>
              </c:strCache>
            </c:strRef>
          </c:cat>
          <c:val>
            <c:numRef>
              <c:f>Sheet1!$F$2:$F$4</c:f>
              <c:numCache>
                <c:formatCode>0%</c:formatCode>
                <c:ptCount val="3"/>
                <c:pt idx="0">
                  <c:v>0.06</c:v>
                </c:pt>
                <c:pt idx="1">
                  <c:v>0.45</c:v>
                </c:pt>
                <c:pt idx="2">
                  <c:v>0.49</c:v>
                </c:pt>
              </c:numCache>
            </c:numRef>
          </c:val>
        </c:ser>
        <c:ser>
          <c:idx val="5"/>
          <c:order val="5"/>
          <c:tx>
            <c:strRef>
              <c:f>Sheet1!$G$1</c:f>
              <c:strCache>
                <c:ptCount val="1"/>
                <c:pt idx="0">
                  <c:v>Apr'12</c:v>
                </c:pt>
              </c:strCache>
            </c:strRef>
          </c:tx>
          <c:invertIfNegative val="0"/>
          <c:dLbls>
            <c:txPr>
              <a:bodyPr/>
              <a:lstStyle/>
              <a:p>
                <a:pPr>
                  <a:defRPr sz="800"/>
                </a:pPr>
                <a:endParaRPr lang="en-US"/>
              </a:p>
            </c:txPr>
            <c:showLegendKey val="0"/>
            <c:showVal val="1"/>
            <c:showCatName val="0"/>
            <c:showSerName val="0"/>
            <c:showPercent val="0"/>
            <c:showBubbleSize val="0"/>
            <c:showLeaderLines val="0"/>
          </c:dLbls>
          <c:cat>
            <c:strRef>
              <c:f>Sheet1!$A$2:$A$4</c:f>
              <c:strCache>
                <c:ptCount val="3"/>
                <c:pt idx="0">
                  <c:v>Decrease</c:v>
                </c:pt>
                <c:pt idx="1">
                  <c:v>Stay The Same</c:v>
                </c:pt>
                <c:pt idx="2">
                  <c:v>Increase</c:v>
                </c:pt>
              </c:strCache>
            </c:strRef>
          </c:cat>
          <c:val>
            <c:numRef>
              <c:f>Sheet1!$G$2:$G$4</c:f>
              <c:numCache>
                <c:formatCode>0%</c:formatCode>
                <c:ptCount val="3"/>
                <c:pt idx="0">
                  <c:v>0.05</c:v>
                </c:pt>
                <c:pt idx="1">
                  <c:v>0.36</c:v>
                </c:pt>
                <c:pt idx="2">
                  <c:v>0.6</c:v>
                </c:pt>
              </c:numCache>
            </c:numRef>
          </c:val>
        </c:ser>
        <c:dLbls>
          <c:showLegendKey val="0"/>
          <c:showVal val="1"/>
          <c:showCatName val="0"/>
          <c:showSerName val="0"/>
          <c:showPercent val="0"/>
          <c:showBubbleSize val="0"/>
        </c:dLbls>
        <c:gapWidth val="150"/>
        <c:axId val="187864960"/>
        <c:axId val="187866496"/>
      </c:barChart>
      <c:catAx>
        <c:axId val="187864960"/>
        <c:scaling>
          <c:orientation val="minMax"/>
        </c:scaling>
        <c:delete val="0"/>
        <c:axPos val="b"/>
        <c:numFmt formatCode="General" sourceLinked="1"/>
        <c:majorTickMark val="out"/>
        <c:minorTickMark val="none"/>
        <c:tickLblPos val="nextTo"/>
        <c:txPr>
          <a:bodyPr/>
          <a:lstStyle/>
          <a:p>
            <a:pPr>
              <a:defRPr b="0"/>
            </a:pPr>
            <a:endParaRPr lang="en-US"/>
          </a:p>
        </c:txPr>
        <c:crossAx val="187866496"/>
        <c:crosses val="autoZero"/>
        <c:auto val="1"/>
        <c:lblAlgn val="ctr"/>
        <c:lblOffset val="100"/>
        <c:noMultiLvlLbl val="0"/>
      </c:catAx>
      <c:valAx>
        <c:axId val="187866496"/>
        <c:scaling>
          <c:orientation val="minMax"/>
        </c:scaling>
        <c:delete val="0"/>
        <c:axPos val="l"/>
        <c:numFmt formatCode="0%" sourceLinked="1"/>
        <c:majorTickMark val="out"/>
        <c:minorTickMark val="none"/>
        <c:tickLblPos val="nextTo"/>
        <c:txPr>
          <a:bodyPr/>
          <a:lstStyle/>
          <a:p>
            <a:pPr>
              <a:defRPr b="0"/>
            </a:pPr>
            <a:endParaRPr lang="en-US"/>
          </a:p>
        </c:txPr>
        <c:crossAx val="187864960"/>
        <c:crosses val="autoZero"/>
        <c:crossBetween val="between"/>
      </c:valAx>
      <c:spPr>
        <a:ln>
          <a:noFill/>
        </a:ln>
      </c:spPr>
    </c:plotArea>
    <c:legend>
      <c:legendPos val="t"/>
      <c:overlay val="0"/>
      <c:txPr>
        <a:bodyPr/>
        <a:lstStyle/>
        <a:p>
          <a:pPr>
            <a:defRPr sz="1199" b="0"/>
          </a:pPr>
          <a:endParaRPr lang="en-US"/>
        </a:p>
      </c:tx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9" b="1"/>
            </a:pPr>
            <a:r>
              <a:rPr lang="en-US" sz="1199" b="1"/>
              <a:t>Do you think that 12 months from now the overall level (value) of the U.S. Stock Market will be higher than it is today, lower than it is today,</a:t>
            </a:r>
            <a:r>
              <a:rPr lang="en-US" sz="1199" b="1" baseline="0"/>
              <a:t> or about the same?</a:t>
            </a:r>
            <a:endParaRPr lang="en-US" sz="1200" b="1"/>
          </a:p>
        </c:rich>
      </c:tx>
      <c:layout>
        <c:manualLayout>
          <c:xMode val="edge"/>
          <c:yMode val="edge"/>
          <c:x val="9.4937033270487567E-2"/>
          <c:y val="0"/>
        </c:manualLayout>
      </c:layout>
      <c:overlay val="0"/>
    </c:title>
    <c:autoTitleDeleted val="0"/>
    <c:plotArea>
      <c:layout/>
      <c:barChart>
        <c:barDir val="col"/>
        <c:grouping val="clustered"/>
        <c:varyColors val="0"/>
        <c:ser>
          <c:idx val="0"/>
          <c:order val="0"/>
          <c:tx>
            <c:strRef>
              <c:f>Sheet1!$B$1</c:f>
              <c:strCache>
                <c:ptCount val="1"/>
                <c:pt idx="0">
                  <c:v>Apr'11</c:v>
                </c:pt>
              </c:strCache>
            </c:strRef>
          </c:tx>
          <c:invertIfNegative val="0"/>
          <c:cat>
            <c:strRef>
              <c:f>Sheet1!$A$2:$A$4</c:f>
              <c:strCache>
                <c:ptCount val="3"/>
                <c:pt idx="0">
                  <c:v>Lower</c:v>
                </c:pt>
                <c:pt idx="1">
                  <c:v>Same</c:v>
                </c:pt>
                <c:pt idx="2">
                  <c:v>Higher</c:v>
                </c:pt>
              </c:strCache>
            </c:strRef>
          </c:cat>
          <c:val>
            <c:numRef>
              <c:f>Sheet1!$B$2:$B$4</c:f>
              <c:numCache>
                <c:formatCode>0%</c:formatCode>
                <c:ptCount val="3"/>
                <c:pt idx="0">
                  <c:v>0.2</c:v>
                </c:pt>
                <c:pt idx="1">
                  <c:v>0.44</c:v>
                </c:pt>
                <c:pt idx="2">
                  <c:v>0.36</c:v>
                </c:pt>
              </c:numCache>
            </c:numRef>
          </c:val>
        </c:ser>
        <c:ser>
          <c:idx val="1"/>
          <c:order val="1"/>
          <c:tx>
            <c:strRef>
              <c:f>Sheet1!$C$1</c:f>
              <c:strCache>
                <c:ptCount val="1"/>
                <c:pt idx="0">
                  <c:v>May'11</c:v>
                </c:pt>
              </c:strCache>
            </c:strRef>
          </c:tx>
          <c:spPr>
            <a:solidFill>
              <a:srgbClr val="C0504D">
                <a:lumMod val="60000"/>
                <a:lumOff val="40000"/>
              </a:srgbClr>
            </a:solidFill>
          </c:spPr>
          <c:invertIfNegative val="0"/>
          <c:cat>
            <c:strRef>
              <c:f>Sheet1!$A$2:$A$4</c:f>
              <c:strCache>
                <c:ptCount val="3"/>
                <c:pt idx="0">
                  <c:v>Lower</c:v>
                </c:pt>
                <c:pt idx="1">
                  <c:v>Same</c:v>
                </c:pt>
                <c:pt idx="2">
                  <c:v>Higher</c:v>
                </c:pt>
              </c:strCache>
            </c:strRef>
          </c:cat>
          <c:val>
            <c:numRef>
              <c:f>Sheet1!$C$2:$C$4</c:f>
              <c:numCache>
                <c:formatCode>0%</c:formatCode>
                <c:ptCount val="3"/>
                <c:pt idx="0">
                  <c:v>0.16</c:v>
                </c:pt>
                <c:pt idx="1">
                  <c:v>0.45</c:v>
                </c:pt>
                <c:pt idx="2">
                  <c:v>0.39</c:v>
                </c:pt>
              </c:numCache>
            </c:numRef>
          </c:val>
        </c:ser>
        <c:ser>
          <c:idx val="2"/>
          <c:order val="2"/>
          <c:tx>
            <c:strRef>
              <c:f>Sheet1!$D$1</c:f>
              <c:strCache>
                <c:ptCount val="1"/>
                <c:pt idx="0">
                  <c:v>Sept'11</c:v>
                </c:pt>
              </c:strCache>
            </c:strRef>
          </c:tx>
          <c:spPr>
            <a:solidFill>
              <a:srgbClr val="9BBB59"/>
            </a:solidFill>
          </c:spPr>
          <c:invertIfNegative val="0"/>
          <c:cat>
            <c:strRef>
              <c:f>Sheet1!$A$2:$A$4</c:f>
              <c:strCache>
                <c:ptCount val="3"/>
                <c:pt idx="0">
                  <c:v>Lower</c:v>
                </c:pt>
                <c:pt idx="1">
                  <c:v>Same</c:v>
                </c:pt>
                <c:pt idx="2">
                  <c:v>Higher</c:v>
                </c:pt>
              </c:strCache>
            </c:strRef>
          </c:cat>
          <c:val>
            <c:numRef>
              <c:f>Sheet1!$D$2:$D$4</c:f>
              <c:numCache>
                <c:formatCode>0%</c:formatCode>
                <c:ptCount val="3"/>
                <c:pt idx="0">
                  <c:v>0.15</c:v>
                </c:pt>
                <c:pt idx="1">
                  <c:v>0.41</c:v>
                </c:pt>
                <c:pt idx="2">
                  <c:v>0.44</c:v>
                </c:pt>
              </c:numCache>
            </c:numRef>
          </c:val>
        </c:ser>
        <c:ser>
          <c:idx val="3"/>
          <c:order val="3"/>
          <c:tx>
            <c:strRef>
              <c:f>Sheet1!$E$1</c:f>
              <c:strCache>
                <c:ptCount val="1"/>
                <c:pt idx="0">
                  <c:v>Dec'11</c:v>
                </c:pt>
              </c:strCache>
            </c:strRef>
          </c:tx>
          <c:spPr>
            <a:solidFill>
              <a:srgbClr val="C0504D"/>
            </a:solidFill>
          </c:spPr>
          <c:invertIfNegative val="0"/>
          <c:cat>
            <c:strRef>
              <c:f>Sheet1!$A$2:$A$4</c:f>
              <c:strCache>
                <c:ptCount val="3"/>
                <c:pt idx="0">
                  <c:v>Lower</c:v>
                </c:pt>
                <c:pt idx="1">
                  <c:v>Same</c:v>
                </c:pt>
                <c:pt idx="2">
                  <c:v>Higher</c:v>
                </c:pt>
              </c:strCache>
            </c:strRef>
          </c:cat>
          <c:val>
            <c:numRef>
              <c:f>Sheet1!$E$2:$E$4</c:f>
              <c:numCache>
                <c:formatCode>0%</c:formatCode>
                <c:ptCount val="3"/>
                <c:pt idx="0">
                  <c:v>0.15</c:v>
                </c:pt>
                <c:pt idx="1">
                  <c:v>0.41</c:v>
                </c:pt>
                <c:pt idx="2">
                  <c:v>0.44</c:v>
                </c:pt>
              </c:numCache>
            </c:numRef>
          </c:val>
        </c:ser>
        <c:ser>
          <c:idx val="4"/>
          <c:order val="4"/>
          <c:tx>
            <c:strRef>
              <c:f>Sheet1!$F$1</c:f>
              <c:strCache>
                <c:ptCount val="1"/>
                <c:pt idx="0">
                  <c:v>Jan'12</c:v>
                </c:pt>
              </c:strCache>
            </c:strRef>
          </c:tx>
          <c:spPr>
            <a:solidFill>
              <a:srgbClr val="4BACC6"/>
            </a:solidFill>
          </c:spPr>
          <c:invertIfNegative val="0"/>
          <c:cat>
            <c:strRef>
              <c:f>Sheet1!$A$2:$A$4</c:f>
              <c:strCache>
                <c:ptCount val="3"/>
                <c:pt idx="0">
                  <c:v>Lower</c:v>
                </c:pt>
                <c:pt idx="1">
                  <c:v>Same</c:v>
                </c:pt>
                <c:pt idx="2">
                  <c:v>Higher</c:v>
                </c:pt>
              </c:strCache>
            </c:strRef>
          </c:cat>
          <c:val>
            <c:numRef>
              <c:f>Sheet1!$F$2:$F$4</c:f>
              <c:numCache>
                <c:formatCode>0%</c:formatCode>
                <c:ptCount val="3"/>
                <c:pt idx="0">
                  <c:v>0.1</c:v>
                </c:pt>
                <c:pt idx="1">
                  <c:v>0.47</c:v>
                </c:pt>
                <c:pt idx="2">
                  <c:v>0.43</c:v>
                </c:pt>
              </c:numCache>
            </c:numRef>
          </c:val>
        </c:ser>
        <c:ser>
          <c:idx val="5"/>
          <c:order val="5"/>
          <c:tx>
            <c:strRef>
              <c:f>Sheet1!$G$1</c:f>
              <c:strCache>
                <c:ptCount val="1"/>
                <c:pt idx="0">
                  <c:v>Apr'12</c:v>
                </c:pt>
              </c:strCache>
            </c:strRef>
          </c:tx>
          <c:spPr>
            <a:solidFill>
              <a:srgbClr val="F79646"/>
            </a:solidFill>
          </c:spPr>
          <c:invertIfNegative val="0"/>
          <c:cat>
            <c:strRef>
              <c:f>Sheet1!$A$2:$A$4</c:f>
              <c:strCache>
                <c:ptCount val="3"/>
                <c:pt idx="0">
                  <c:v>Lower</c:v>
                </c:pt>
                <c:pt idx="1">
                  <c:v>Same</c:v>
                </c:pt>
                <c:pt idx="2">
                  <c:v>Higher</c:v>
                </c:pt>
              </c:strCache>
            </c:strRef>
          </c:cat>
          <c:val>
            <c:numRef>
              <c:f>Sheet1!$G$2:$G$4</c:f>
              <c:numCache>
                <c:formatCode>0%</c:formatCode>
                <c:ptCount val="3"/>
                <c:pt idx="0">
                  <c:v>0.14000000000000001</c:v>
                </c:pt>
                <c:pt idx="1">
                  <c:v>0.4</c:v>
                </c:pt>
                <c:pt idx="2">
                  <c:v>0.46</c:v>
                </c:pt>
              </c:numCache>
            </c:numRef>
          </c:val>
        </c:ser>
        <c:dLbls>
          <c:showLegendKey val="0"/>
          <c:showVal val="1"/>
          <c:showCatName val="0"/>
          <c:showSerName val="0"/>
          <c:showPercent val="0"/>
          <c:showBubbleSize val="0"/>
        </c:dLbls>
        <c:gapWidth val="150"/>
        <c:axId val="183105792"/>
        <c:axId val="186114048"/>
      </c:barChart>
      <c:catAx>
        <c:axId val="183105792"/>
        <c:scaling>
          <c:orientation val="minMax"/>
        </c:scaling>
        <c:delete val="0"/>
        <c:axPos val="b"/>
        <c:numFmt formatCode="General" sourceLinked="1"/>
        <c:majorTickMark val="out"/>
        <c:minorTickMark val="none"/>
        <c:tickLblPos val="nextTo"/>
        <c:txPr>
          <a:bodyPr/>
          <a:lstStyle/>
          <a:p>
            <a:pPr>
              <a:defRPr b="0"/>
            </a:pPr>
            <a:endParaRPr lang="en-US"/>
          </a:p>
        </c:txPr>
        <c:crossAx val="186114048"/>
        <c:crosses val="autoZero"/>
        <c:auto val="1"/>
        <c:lblAlgn val="ctr"/>
        <c:lblOffset val="100"/>
        <c:noMultiLvlLbl val="0"/>
      </c:catAx>
      <c:valAx>
        <c:axId val="186114048"/>
        <c:scaling>
          <c:orientation val="minMax"/>
        </c:scaling>
        <c:delete val="0"/>
        <c:axPos val="l"/>
        <c:numFmt formatCode="0%" sourceLinked="1"/>
        <c:majorTickMark val="out"/>
        <c:minorTickMark val="none"/>
        <c:tickLblPos val="nextTo"/>
        <c:txPr>
          <a:bodyPr/>
          <a:lstStyle/>
          <a:p>
            <a:pPr>
              <a:defRPr b="0"/>
            </a:pPr>
            <a:endParaRPr lang="en-US"/>
          </a:p>
        </c:txPr>
        <c:crossAx val="183105792"/>
        <c:crosses val="autoZero"/>
        <c:crossBetween val="between"/>
        <c:majorUnit val="0.1"/>
      </c:valAx>
    </c:plotArea>
    <c:legend>
      <c:legendPos val="t"/>
      <c:overlay val="0"/>
      <c:txPr>
        <a:bodyPr/>
        <a:lstStyle/>
        <a:p>
          <a:pPr>
            <a:defRPr sz="1199" b="0"/>
          </a:pPr>
          <a:endParaRPr lang="en-US"/>
        </a:p>
      </c:txPr>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a:pPr>
            <a:r>
              <a:rPr lang="en-US" sz="1199" b="1"/>
              <a:t>Thinking</a:t>
            </a:r>
            <a:r>
              <a:rPr lang="en-US" sz="1199" b="1" baseline="0"/>
              <a:t> about the amount of your income that you are currently saving, compared to before this current recession began, are you currently saving more of your income, saving less of your income, or saving about the same as before the recession began?</a:t>
            </a:r>
            <a:endParaRPr lang="en-US" sz="1200" b="1"/>
          </a:p>
        </c:rich>
      </c:tx>
      <c:overlay val="0"/>
    </c:title>
    <c:autoTitleDeleted val="0"/>
    <c:plotArea>
      <c:layout/>
      <c:barChart>
        <c:barDir val="col"/>
        <c:grouping val="clustered"/>
        <c:varyColors val="0"/>
        <c:ser>
          <c:idx val="0"/>
          <c:order val="0"/>
          <c:tx>
            <c:strRef>
              <c:f>Sheet1!$B$1</c:f>
              <c:strCache>
                <c:ptCount val="1"/>
                <c:pt idx="0">
                  <c:v>Apr'11</c:v>
                </c:pt>
              </c:strCache>
            </c:strRef>
          </c:tx>
          <c:invertIfNegative val="0"/>
          <c:cat>
            <c:strRef>
              <c:f>Sheet1!$A$2:$A$4</c:f>
              <c:strCache>
                <c:ptCount val="3"/>
                <c:pt idx="0">
                  <c:v>Saving Less</c:v>
                </c:pt>
                <c:pt idx="1">
                  <c:v>Saving the Same</c:v>
                </c:pt>
                <c:pt idx="2">
                  <c:v>Saving More</c:v>
                </c:pt>
              </c:strCache>
            </c:strRef>
          </c:cat>
          <c:val>
            <c:numRef>
              <c:f>Sheet1!$B$2:$B$4</c:f>
              <c:numCache>
                <c:formatCode>0%</c:formatCode>
                <c:ptCount val="3"/>
                <c:pt idx="0">
                  <c:v>0.4</c:v>
                </c:pt>
                <c:pt idx="1">
                  <c:v>0.4</c:v>
                </c:pt>
                <c:pt idx="2">
                  <c:v>0.21</c:v>
                </c:pt>
              </c:numCache>
            </c:numRef>
          </c:val>
        </c:ser>
        <c:ser>
          <c:idx val="1"/>
          <c:order val="1"/>
          <c:tx>
            <c:strRef>
              <c:f>Sheet1!$C$1</c:f>
              <c:strCache>
                <c:ptCount val="1"/>
                <c:pt idx="0">
                  <c:v>Sept'11</c:v>
                </c:pt>
              </c:strCache>
            </c:strRef>
          </c:tx>
          <c:spPr>
            <a:solidFill>
              <a:srgbClr val="9BBB59"/>
            </a:solidFill>
          </c:spPr>
          <c:invertIfNegative val="0"/>
          <c:cat>
            <c:strRef>
              <c:f>Sheet1!$A$2:$A$4</c:f>
              <c:strCache>
                <c:ptCount val="3"/>
                <c:pt idx="0">
                  <c:v>Saving Less</c:v>
                </c:pt>
                <c:pt idx="1">
                  <c:v>Saving the Same</c:v>
                </c:pt>
                <c:pt idx="2">
                  <c:v>Saving More</c:v>
                </c:pt>
              </c:strCache>
            </c:strRef>
          </c:cat>
          <c:val>
            <c:numRef>
              <c:f>Sheet1!$C$2:$C$4</c:f>
              <c:numCache>
                <c:formatCode>0%</c:formatCode>
                <c:ptCount val="3"/>
                <c:pt idx="0">
                  <c:v>0.39</c:v>
                </c:pt>
                <c:pt idx="1">
                  <c:v>0.35</c:v>
                </c:pt>
                <c:pt idx="2">
                  <c:v>0.26</c:v>
                </c:pt>
              </c:numCache>
            </c:numRef>
          </c:val>
        </c:ser>
        <c:ser>
          <c:idx val="2"/>
          <c:order val="2"/>
          <c:tx>
            <c:strRef>
              <c:f>Sheet1!$D$1</c:f>
              <c:strCache>
                <c:ptCount val="1"/>
                <c:pt idx="0">
                  <c:v>Dec'11</c:v>
                </c:pt>
              </c:strCache>
            </c:strRef>
          </c:tx>
          <c:spPr>
            <a:solidFill>
              <a:srgbClr val="C0504D"/>
            </a:solidFill>
          </c:spPr>
          <c:invertIfNegative val="0"/>
          <c:cat>
            <c:strRef>
              <c:f>Sheet1!$A$2:$A$4</c:f>
              <c:strCache>
                <c:ptCount val="3"/>
                <c:pt idx="0">
                  <c:v>Saving Less</c:v>
                </c:pt>
                <c:pt idx="1">
                  <c:v>Saving the Same</c:v>
                </c:pt>
                <c:pt idx="2">
                  <c:v>Saving More</c:v>
                </c:pt>
              </c:strCache>
            </c:strRef>
          </c:cat>
          <c:val>
            <c:numRef>
              <c:f>Sheet1!$D$2:$D$4</c:f>
              <c:numCache>
                <c:formatCode>0%</c:formatCode>
                <c:ptCount val="3"/>
                <c:pt idx="0">
                  <c:v>0.37</c:v>
                </c:pt>
                <c:pt idx="1">
                  <c:v>0.39</c:v>
                </c:pt>
                <c:pt idx="2">
                  <c:v>0.25</c:v>
                </c:pt>
              </c:numCache>
            </c:numRef>
          </c:val>
        </c:ser>
        <c:ser>
          <c:idx val="3"/>
          <c:order val="3"/>
          <c:tx>
            <c:strRef>
              <c:f>Sheet1!$E$1</c:f>
              <c:strCache>
                <c:ptCount val="1"/>
                <c:pt idx="0">
                  <c:v>Jan'12</c:v>
                </c:pt>
              </c:strCache>
            </c:strRef>
          </c:tx>
          <c:spPr>
            <a:solidFill>
              <a:srgbClr val="4BACC6"/>
            </a:solidFill>
          </c:spPr>
          <c:invertIfNegative val="0"/>
          <c:cat>
            <c:strRef>
              <c:f>Sheet1!$A$2:$A$4</c:f>
              <c:strCache>
                <c:ptCount val="3"/>
                <c:pt idx="0">
                  <c:v>Saving Less</c:v>
                </c:pt>
                <c:pt idx="1">
                  <c:v>Saving the Same</c:v>
                </c:pt>
                <c:pt idx="2">
                  <c:v>Saving More</c:v>
                </c:pt>
              </c:strCache>
            </c:strRef>
          </c:cat>
          <c:val>
            <c:numRef>
              <c:f>Sheet1!$E$2:$E$4</c:f>
              <c:numCache>
                <c:formatCode>0%</c:formatCode>
                <c:ptCount val="3"/>
                <c:pt idx="0">
                  <c:v>0.39</c:v>
                </c:pt>
                <c:pt idx="1">
                  <c:v>0.36</c:v>
                </c:pt>
                <c:pt idx="2">
                  <c:v>0.26</c:v>
                </c:pt>
              </c:numCache>
            </c:numRef>
          </c:val>
        </c:ser>
        <c:ser>
          <c:idx val="4"/>
          <c:order val="4"/>
          <c:tx>
            <c:strRef>
              <c:f>Sheet1!$F$1</c:f>
              <c:strCache>
                <c:ptCount val="1"/>
                <c:pt idx="0">
                  <c:v>Apr'12</c:v>
                </c:pt>
              </c:strCache>
            </c:strRef>
          </c:tx>
          <c:spPr>
            <a:solidFill>
              <a:srgbClr val="F79646"/>
            </a:solidFill>
          </c:spPr>
          <c:invertIfNegative val="0"/>
          <c:cat>
            <c:strRef>
              <c:f>Sheet1!$A$2:$A$4</c:f>
              <c:strCache>
                <c:ptCount val="3"/>
                <c:pt idx="0">
                  <c:v>Saving Less</c:v>
                </c:pt>
                <c:pt idx="1">
                  <c:v>Saving the Same</c:v>
                </c:pt>
                <c:pt idx="2">
                  <c:v>Saving More</c:v>
                </c:pt>
              </c:strCache>
            </c:strRef>
          </c:cat>
          <c:val>
            <c:numRef>
              <c:f>Sheet1!$F$2:$F$4</c:f>
              <c:numCache>
                <c:formatCode>0%</c:formatCode>
                <c:ptCount val="3"/>
                <c:pt idx="0">
                  <c:v>0.33</c:v>
                </c:pt>
                <c:pt idx="1">
                  <c:v>0.37</c:v>
                </c:pt>
                <c:pt idx="2">
                  <c:v>0.3</c:v>
                </c:pt>
              </c:numCache>
            </c:numRef>
          </c:val>
        </c:ser>
        <c:dLbls>
          <c:showLegendKey val="0"/>
          <c:showVal val="1"/>
          <c:showCatName val="0"/>
          <c:showSerName val="0"/>
          <c:showPercent val="0"/>
          <c:showBubbleSize val="0"/>
        </c:dLbls>
        <c:gapWidth val="150"/>
        <c:axId val="193062784"/>
        <c:axId val="193064320"/>
      </c:barChart>
      <c:catAx>
        <c:axId val="193062784"/>
        <c:scaling>
          <c:orientation val="minMax"/>
        </c:scaling>
        <c:delete val="0"/>
        <c:axPos val="b"/>
        <c:numFmt formatCode="General" sourceLinked="1"/>
        <c:majorTickMark val="out"/>
        <c:minorTickMark val="none"/>
        <c:tickLblPos val="nextTo"/>
        <c:txPr>
          <a:bodyPr/>
          <a:lstStyle/>
          <a:p>
            <a:pPr>
              <a:defRPr b="0"/>
            </a:pPr>
            <a:endParaRPr lang="en-US"/>
          </a:p>
        </c:txPr>
        <c:crossAx val="193064320"/>
        <c:crosses val="autoZero"/>
        <c:auto val="1"/>
        <c:lblAlgn val="ctr"/>
        <c:lblOffset val="100"/>
        <c:noMultiLvlLbl val="0"/>
      </c:catAx>
      <c:valAx>
        <c:axId val="193064320"/>
        <c:scaling>
          <c:orientation val="minMax"/>
        </c:scaling>
        <c:delete val="0"/>
        <c:axPos val="l"/>
        <c:numFmt formatCode="0%" sourceLinked="1"/>
        <c:majorTickMark val="out"/>
        <c:minorTickMark val="none"/>
        <c:tickLblPos val="nextTo"/>
        <c:txPr>
          <a:bodyPr/>
          <a:lstStyle/>
          <a:p>
            <a:pPr>
              <a:defRPr b="0"/>
            </a:pPr>
            <a:endParaRPr lang="en-US"/>
          </a:p>
        </c:txPr>
        <c:crossAx val="193062784"/>
        <c:crosses val="autoZero"/>
        <c:crossBetween val="between"/>
      </c:valAx>
    </c:plotArea>
    <c:legend>
      <c:legendPos val="t"/>
      <c:overlay val="0"/>
      <c:txPr>
        <a:bodyPr/>
        <a:lstStyle/>
        <a:p>
          <a:pPr>
            <a:defRPr sz="1199"/>
          </a:pPr>
          <a:endParaRPr lang="en-US"/>
        </a:p>
      </c:txPr>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b="1"/>
            </a:pPr>
            <a:r>
              <a:rPr lang="en-US" sz="1100" b="1"/>
              <a:t> </a:t>
            </a:r>
            <a:r>
              <a:rPr lang="en-US" sz="1200" b="1"/>
              <a:t>Looking ahead, do you think</a:t>
            </a:r>
            <a:r>
              <a:rPr lang="en-US" sz="1200" b="1" baseline="0"/>
              <a:t> that when the economy strengthens and the current recession has ended that you will save more of your income than you are currently saving, save less of your income than you are currently saving, or save about the same?</a:t>
            </a:r>
            <a:endParaRPr lang="en-US" sz="1200" b="1"/>
          </a:p>
        </c:rich>
      </c:tx>
      <c:layout>
        <c:manualLayout>
          <c:xMode val="edge"/>
          <c:yMode val="edge"/>
          <c:x val="0.10710553970127625"/>
          <c:y val="0"/>
        </c:manualLayout>
      </c:layout>
      <c:overlay val="0"/>
    </c:title>
    <c:autoTitleDeleted val="0"/>
    <c:plotArea>
      <c:layout>
        <c:manualLayout>
          <c:layoutTarget val="inner"/>
          <c:xMode val="edge"/>
          <c:yMode val="edge"/>
          <c:x val="9.3516435445570575E-2"/>
          <c:y val="0.41576265191091832"/>
          <c:w val="0.87920181852269408"/>
          <c:h val="0.39711088556414997"/>
        </c:manualLayout>
      </c:layout>
      <c:barChart>
        <c:barDir val="col"/>
        <c:grouping val="clustered"/>
        <c:varyColors val="0"/>
        <c:ser>
          <c:idx val="0"/>
          <c:order val="0"/>
          <c:tx>
            <c:strRef>
              <c:f>Sheet1!$B$1</c:f>
              <c:strCache>
                <c:ptCount val="1"/>
                <c:pt idx="0">
                  <c:v>Apr'11</c:v>
                </c:pt>
              </c:strCache>
            </c:strRef>
          </c:tx>
          <c:invertIfNegative val="0"/>
          <c:cat>
            <c:strRef>
              <c:f>Sheet1!$A$2:$A$4</c:f>
              <c:strCache>
                <c:ptCount val="3"/>
                <c:pt idx="0">
                  <c:v>Save less than you are currently saving</c:v>
                </c:pt>
                <c:pt idx="1">
                  <c:v>Save the same as you are currently saving</c:v>
                </c:pt>
                <c:pt idx="2">
                  <c:v>Save more than you are currently saving</c:v>
                </c:pt>
              </c:strCache>
            </c:strRef>
          </c:cat>
          <c:val>
            <c:numRef>
              <c:f>Sheet1!$B$2:$B$4</c:f>
              <c:numCache>
                <c:formatCode>0%</c:formatCode>
                <c:ptCount val="3"/>
                <c:pt idx="0">
                  <c:v>0.08</c:v>
                </c:pt>
                <c:pt idx="1">
                  <c:v>0.43</c:v>
                </c:pt>
                <c:pt idx="2">
                  <c:v>0.49</c:v>
                </c:pt>
              </c:numCache>
            </c:numRef>
          </c:val>
        </c:ser>
        <c:ser>
          <c:idx val="1"/>
          <c:order val="1"/>
          <c:tx>
            <c:strRef>
              <c:f>Sheet1!$C$1</c:f>
              <c:strCache>
                <c:ptCount val="1"/>
                <c:pt idx="0">
                  <c:v>Sept'11</c:v>
                </c:pt>
              </c:strCache>
            </c:strRef>
          </c:tx>
          <c:spPr>
            <a:solidFill>
              <a:srgbClr val="9BBB59"/>
            </a:solidFill>
          </c:spPr>
          <c:invertIfNegative val="0"/>
          <c:cat>
            <c:strRef>
              <c:f>Sheet1!$A$2:$A$4</c:f>
              <c:strCache>
                <c:ptCount val="3"/>
                <c:pt idx="0">
                  <c:v>Save less than you are currently saving</c:v>
                </c:pt>
                <c:pt idx="1">
                  <c:v>Save the same as you are currently saving</c:v>
                </c:pt>
                <c:pt idx="2">
                  <c:v>Save more than you are currently saving</c:v>
                </c:pt>
              </c:strCache>
            </c:strRef>
          </c:cat>
          <c:val>
            <c:numRef>
              <c:f>Sheet1!$C$2:$C$4</c:f>
              <c:numCache>
                <c:formatCode>0%</c:formatCode>
                <c:ptCount val="3"/>
                <c:pt idx="0">
                  <c:v>0.09</c:v>
                </c:pt>
                <c:pt idx="1">
                  <c:v>0.43</c:v>
                </c:pt>
                <c:pt idx="2">
                  <c:v>0.48</c:v>
                </c:pt>
              </c:numCache>
            </c:numRef>
          </c:val>
        </c:ser>
        <c:ser>
          <c:idx val="2"/>
          <c:order val="2"/>
          <c:tx>
            <c:strRef>
              <c:f>Sheet1!$D$1</c:f>
              <c:strCache>
                <c:ptCount val="1"/>
                <c:pt idx="0">
                  <c:v>Dec'11</c:v>
                </c:pt>
              </c:strCache>
            </c:strRef>
          </c:tx>
          <c:spPr>
            <a:solidFill>
              <a:srgbClr val="C0504D"/>
            </a:solidFill>
          </c:spPr>
          <c:invertIfNegative val="0"/>
          <c:cat>
            <c:strRef>
              <c:f>Sheet1!$A$2:$A$4</c:f>
              <c:strCache>
                <c:ptCount val="3"/>
                <c:pt idx="0">
                  <c:v>Save less than you are currently saving</c:v>
                </c:pt>
                <c:pt idx="1">
                  <c:v>Save the same as you are currently saving</c:v>
                </c:pt>
                <c:pt idx="2">
                  <c:v>Save more than you are currently saving</c:v>
                </c:pt>
              </c:strCache>
            </c:strRef>
          </c:cat>
          <c:val>
            <c:numRef>
              <c:f>Sheet1!$D$2:$D$4</c:f>
              <c:numCache>
                <c:formatCode>0%</c:formatCode>
                <c:ptCount val="3"/>
                <c:pt idx="0">
                  <c:v>0.08</c:v>
                </c:pt>
                <c:pt idx="1">
                  <c:v>0.38</c:v>
                </c:pt>
                <c:pt idx="2">
                  <c:v>0.55000000000000004</c:v>
                </c:pt>
              </c:numCache>
            </c:numRef>
          </c:val>
        </c:ser>
        <c:ser>
          <c:idx val="3"/>
          <c:order val="3"/>
          <c:tx>
            <c:strRef>
              <c:f>Sheet1!$E$1</c:f>
              <c:strCache>
                <c:ptCount val="1"/>
                <c:pt idx="0">
                  <c:v>Jan'12</c:v>
                </c:pt>
              </c:strCache>
            </c:strRef>
          </c:tx>
          <c:spPr>
            <a:solidFill>
              <a:srgbClr val="4BACC6"/>
            </a:solidFill>
          </c:spPr>
          <c:invertIfNegative val="0"/>
          <c:cat>
            <c:strRef>
              <c:f>Sheet1!$A$2:$A$4</c:f>
              <c:strCache>
                <c:ptCount val="3"/>
                <c:pt idx="0">
                  <c:v>Save less than you are currently saving</c:v>
                </c:pt>
                <c:pt idx="1">
                  <c:v>Save the same as you are currently saving</c:v>
                </c:pt>
                <c:pt idx="2">
                  <c:v>Save more than you are currently saving</c:v>
                </c:pt>
              </c:strCache>
            </c:strRef>
          </c:cat>
          <c:val>
            <c:numRef>
              <c:f>Sheet1!$E$2:$E$4</c:f>
              <c:numCache>
                <c:formatCode>0%</c:formatCode>
                <c:ptCount val="3"/>
                <c:pt idx="0">
                  <c:v>0.06</c:v>
                </c:pt>
                <c:pt idx="1">
                  <c:v>0.48</c:v>
                </c:pt>
                <c:pt idx="2">
                  <c:v>0.46</c:v>
                </c:pt>
              </c:numCache>
            </c:numRef>
          </c:val>
        </c:ser>
        <c:ser>
          <c:idx val="4"/>
          <c:order val="4"/>
          <c:tx>
            <c:strRef>
              <c:f>Sheet1!$F$1</c:f>
              <c:strCache>
                <c:ptCount val="1"/>
                <c:pt idx="0">
                  <c:v>Apr'12</c:v>
                </c:pt>
              </c:strCache>
            </c:strRef>
          </c:tx>
          <c:spPr>
            <a:solidFill>
              <a:srgbClr val="F79646">
                <a:lumMod val="75000"/>
              </a:srgbClr>
            </a:solidFill>
          </c:spPr>
          <c:invertIfNegative val="0"/>
          <c:cat>
            <c:strRef>
              <c:f>Sheet1!$A$2:$A$4</c:f>
              <c:strCache>
                <c:ptCount val="3"/>
                <c:pt idx="0">
                  <c:v>Save less than you are currently saving</c:v>
                </c:pt>
                <c:pt idx="1">
                  <c:v>Save the same as you are currently saving</c:v>
                </c:pt>
                <c:pt idx="2">
                  <c:v>Save more than you are currently saving</c:v>
                </c:pt>
              </c:strCache>
            </c:strRef>
          </c:cat>
          <c:val>
            <c:numRef>
              <c:f>Sheet1!$F$2:$F$4</c:f>
              <c:numCache>
                <c:formatCode>0%</c:formatCode>
                <c:ptCount val="3"/>
                <c:pt idx="0">
                  <c:v>0.08</c:v>
                </c:pt>
                <c:pt idx="1">
                  <c:v>0.44</c:v>
                </c:pt>
                <c:pt idx="2">
                  <c:v>0.48</c:v>
                </c:pt>
              </c:numCache>
            </c:numRef>
          </c:val>
        </c:ser>
        <c:dLbls>
          <c:showLegendKey val="0"/>
          <c:showVal val="1"/>
          <c:showCatName val="0"/>
          <c:showSerName val="0"/>
          <c:showPercent val="0"/>
          <c:showBubbleSize val="0"/>
        </c:dLbls>
        <c:gapWidth val="150"/>
        <c:axId val="193757952"/>
        <c:axId val="193759488"/>
      </c:barChart>
      <c:catAx>
        <c:axId val="193757952"/>
        <c:scaling>
          <c:orientation val="minMax"/>
        </c:scaling>
        <c:delete val="0"/>
        <c:axPos val="b"/>
        <c:numFmt formatCode="General" sourceLinked="1"/>
        <c:majorTickMark val="out"/>
        <c:minorTickMark val="none"/>
        <c:tickLblPos val="nextTo"/>
        <c:txPr>
          <a:bodyPr/>
          <a:lstStyle/>
          <a:p>
            <a:pPr>
              <a:defRPr b="1"/>
            </a:pPr>
            <a:endParaRPr lang="en-US"/>
          </a:p>
        </c:txPr>
        <c:crossAx val="193759488"/>
        <c:crosses val="autoZero"/>
        <c:auto val="1"/>
        <c:lblAlgn val="ctr"/>
        <c:lblOffset val="100"/>
        <c:noMultiLvlLbl val="0"/>
      </c:catAx>
      <c:valAx>
        <c:axId val="193759488"/>
        <c:scaling>
          <c:orientation val="minMax"/>
        </c:scaling>
        <c:delete val="0"/>
        <c:axPos val="l"/>
        <c:numFmt formatCode="0%" sourceLinked="1"/>
        <c:majorTickMark val="out"/>
        <c:minorTickMark val="none"/>
        <c:tickLblPos val="nextTo"/>
        <c:txPr>
          <a:bodyPr/>
          <a:lstStyle/>
          <a:p>
            <a:pPr>
              <a:defRPr b="1"/>
            </a:pPr>
            <a:endParaRPr lang="en-US"/>
          </a:p>
        </c:txPr>
        <c:crossAx val="193757952"/>
        <c:crosses val="autoZero"/>
        <c:crossBetween val="between"/>
      </c:valAx>
    </c:plotArea>
    <c:legend>
      <c:legendPos val="t"/>
      <c:layout>
        <c:manualLayout>
          <c:xMode val="edge"/>
          <c:yMode val="edge"/>
          <c:x val="0.16684947600791339"/>
          <c:y val="0.30405445673361348"/>
          <c:w val="0.63668566787876046"/>
          <c:h val="7.5698729550921287E-2"/>
        </c:manualLayout>
      </c:layout>
      <c:overlay val="0"/>
      <c:txPr>
        <a:bodyPr/>
        <a:lstStyle/>
        <a:p>
          <a:pPr>
            <a:defRPr sz="1200"/>
          </a:pPr>
          <a:endParaRPr lang="en-US"/>
        </a:p>
      </c:txPr>
    </c:legend>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latin typeface="+mn-lt"/>
                <a:cs typeface="Times New Roman" pitchFamily="18" charset="0"/>
              </a:rPr>
              <a:t>Thinking</a:t>
            </a:r>
            <a:r>
              <a:rPr lang="en-US" sz="1200" b="1" baseline="0">
                <a:latin typeface="+mn-lt"/>
                <a:cs typeface="Times New Roman" pitchFamily="18" charset="0"/>
              </a:rPr>
              <a:t> about your overall level of consumer spending, d</a:t>
            </a:r>
            <a:r>
              <a:rPr lang="en-US" sz="1200" b="1">
                <a:latin typeface="+mn-lt"/>
                <a:cs typeface="Times New Roman" pitchFamily="18" charset="0"/>
              </a:rPr>
              <a:t>o you think that you will spend more, spend less, or spend about the same as</a:t>
            </a:r>
            <a:r>
              <a:rPr lang="en-US" sz="1200" b="1" baseline="0">
                <a:latin typeface="+mn-lt"/>
                <a:cs typeface="Times New Roman" pitchFamily="18" charset="0"/>
              </a:rPr>
              <a:t> you did last year?</a:t>
            </a:r>
            <a:endParaRPr lang="en-US" sz="1200" b="1">
              <a:latin typeface="+mn-lt"/>
              <a:cs typeface="Times New Roman" pitchFamily="18" charset="0"/>
            </a:endParaRPr>
          </a:p>
        </c:rich>
      </c:tx>
      <c:layout>
        <c:manualLayout>
          <c:xMode val="edge"/>
          <c:yMode val="edge"/>
          <c:x val="0.11915436461540681"/>
          <c:y val="0"/>
        </c:manualLayout>
      </c:layout>
      <c:overlay val="0"/>
    </c:title>
    <c:autoTitleDeleted val="0"/>
    <c:plotArea>
      <c:layout/>
      <c:barChart>
        <c:barDir val="col"/>
        <c:grouping val="clustered"/>
        <c:varyColors val="0"/>
        <c:ser>
          <c:idx val="0"/>
          <c:order val="0"/>
          <c:tx>
            <c:strRef>
              <c:f>Sheet1!$B$1</c:f>
              <c:strCache>
                <c:ptCount val="1"/>
                <c:pt idx="0">
                  <c:v>Apr'11</c:v>
                </c:pt>
              </c:strCache>
            </c:strRef>
          </c:tx>
          <c:spPr>
            <a:solidFill>
              <a:srgbClr val="4F81BD">
                <a:lumMod val="75000"/>
              </a:srgbClr>
            </a:solidFill>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strRef>
              <c:f>Sheet1!$A$2:$A$4</c:f>
              <c:strCache>
                <c:ptCount val="3"/>
                <c:pt idx="0">
                  <c:v>Spend Less</c:v>
                </c:pt>
                <c:pt idx="1">
                  <c:v>Same</c:v>
                </c:pt>
                <c:pt idx="2">
                  <c:v>Spend More</c:v>
                </c:pt>
              </c:strCache>
            </c:strRef>
          </c:cat>
          <c:val>
            <c:numRef>
              <c:f>Sheet1!$B$2:$B$4</c:f>
              <c:numCache>
                <c:formatCode>0%</c:formatCode>
                <c:ptCount val="3"/>
                <c:pt idx="0">
                  <c:v>0.3</c:v>
                </c:pt>
                <c:pt idx="1">
                  <c:v>0.4</c:v>
                </c:pt>
                <c:pt idx="2">
                  <c:v>0.3</c:v>
                </c:pt>
              </c:numCache>
            </c:numRef>
          </c:val>
        </c:ser>
        <c:ser>
          <c:idx val="1"/>
          <c:order val="1"/>
          <c:tx>
            <c:strRef>
              <c:f>Sheet1!$C$1</c:f>
              <c:strCache>
                <c:ptCount val="1"/>
                <c:pt idx="0">
                  <c:v>May'11</c:v>
                </c:pt>
              </c:strCache>
            </c:strRef>
          </c:tx>
          <c:spPr>
            <a:solidFill>
              <a:schemeClr val="accent2">
                <a:lumMod val="60000"/>
                <a:lumOff val="40000"/>
              </a:schemeClr>
            </a:solidFill>
            <a:ln w="3174"/>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strRef>
              <c:f>Sheet1!$A$2:$A$4</c:f>
              <c:strCache>
                <c:ptCount val="3"/>
                <c:pt idx="0">
                  <c:v>Spend Less</c:v>
                </c:pt>
                <c:pt idx="1">
                  <c:v>Same</c:v>
                </c:pt>
                <c:pt idx="2">
                  <c:v>Spend More</c:v>
                </c:pt>
              </c:strCache>
            </c:strRef>
          </c:cat>
          <c:val>
            <c:numRef>
              <c:f>Sheet1!$C$2:$C$4</c:f>
              <c:numCache>
                <c:formatCode>0%</c:formatCode>
                <c:ptCount val="3"/>
                <c:pt idx="0">
                  <c:v>0.27</c:v>
                </c:pt>
                <c:pt idx="1">
                  <c:v>0.49</c:v>
                </c:pt>
                <c:pt idx="2">
                  <c:v>0.24</c:v>
                </c:pt>
              </c:numCache>
            </c:numRef>
          </c:val>
        </c:ser>
        <c:ser>
          <c:idx val="2"/>
          <c:order val="2"/>
          <c:tx>
            <c:strRef>
              <c:f>Sheet1!$D$1</c:f>
              <c:strCache>
                <c:ptCount val="1"/>
                <c:pt idx="0">
                  <c:v>Sept'11</c:v>
                </c:pt>
              </c:strCache>
            </c:strRef>
          </c:tx>
          <c:spPr>
            <a:solidFill>
              <a:srgbClr val="9BBB59"/>
            </a:solidFill>
          </c:spPr>
          <c:invertIfNegative val="0"/>
          <c:dLbls>
            <c:txPr>
              <a:bodyPr/>
              <a:lstStyle/>
              <a:p>
                <a:pPr>
                  <a:defRPr sz="800"/>
                </a:pPr>
                <a:endParaRPr lang="en-US"/>
              </a:p>
            </c:txPr>
            <c:showLegendKey val="0"/>
            <c:showVal val="1"/>
            <c:showCatName val="0"/>
            <c:showSerName val="0"/>
            <c:showPercent val="0"/>
            <c:showBubbleSize val="0"/>
            <c:showLeaderLines val="0"/>
          </c:dLbls>
          <c:cat>
            <c:strRef>
              <c:f>Sheet1!$A$2:$A$4</c:f>
              <c:strCache>
                <c:ptCount val="3"/>
                <c:pt idx="0">
                  <c:v>Spend Less</c:v>
                </c:pt>
                <c:pt idx="1">
                  <c:v>Same</c:v>
                </c:pt>
                <c:pt idx="2">
                  <c:v>Spend More</c:v>
                </c:pt>
              </c:strCache>
            </c:strRef>
          </c:cat>
          <c:val>
            <c:numRef>
              <c:f>Sheet1!$D$2:$D$4</c:f>
              <c:numCache>
                <c:formatCode>0%</c:formatCode>
                <c:ptCount val="3"/>
                <c:pt idx="0">
                  <c:v>0.31</c:v>
                </c:pt>
                <c:pt idx="1">
                  <c:v>0.41</c:v>
                </c:pt>
                <c:pt idx="2">
                  <c:v>0.28000000000000003</c:v>
                </c:pt>
              </c:numCache>
            </c:numRef>
          </c:val>
        </c:ser>
        <c:ser>
          <c:idx val="3"/>
          <c:order val="3"/>
          <c:tx>
            <c:strRef>
              <c:f>Sheet1!$E$1</c:f>
              <c:strCache>
                <c:ptCount val="1"/>
                <c:pt idx="0">
                  <c:v>Dec'11</c:v>
                </c:pt>
              </c:strCache>
            </c:strRef>
          </c:tx>
          <c:spPr>
            <a:solidFill>
              <a:srgbClr val="C0504D"/>
            </a:solidFill>
          </c:spPr>
          <c:invertIfNegative val="0"/>
          <c:dLbls>
            <c:txPr>
              <a:bodyPr/>
              <a:lstStyle/>
              <a:p>
                <a:pPr>
                  <a:defRPr sz="800"/>
                </a:pPr>
                <a:endParaRPr lang="en-US"/>
              </a:p>
            </c:txPr>
            <c:showLegendKey val="0"/>
            <c:showVal val="1"/>
            <c:showCatName val="0"/>
            <c:showSerName val="0"/>
            <c:showPercent val="0"/>
            <c:showBubbleSize val="0"/>
            <c:showLeaderLines val="0"/>
          </c:dLbls>
          <c:cat>
            <c:strRef>
              <c:f>Sheet1!$A$2:$A$4</c:f>
              <c:strCache>
                <c:ptCount val="3"/>
                <c:pt idx="0">
                  <c:v>Spend Less</c:v>
                </c:pt>
                <c:pt idx="1">
                  <c:v>Same</c:v>
                </c:pt>
                <c:pt idx="2">
                  <c:v>Spend More</c:v>
                </c:pt>
              </c:strCache>
            </c:strRef>
          </c:cat>
          <c:val>
            <c:numRef>
              <c:f>Sheet1!$E$2:$E$4</c:f>
              <c:numCache>
                <c:formatCode>0%</c:formatCode>
                <c:ptCount val="3"/>
                <c:pt idx="0">
                  <c:v>0.3</c:v>
                </c:pt>
                <c:pt idx="1">
                  <c:v>0.44</c:v>
                </c:pt>
                <c:pt idx="2">
                  <c:v>0.26</c:v>
                </c:pt>
              </c:numCache>
            </c:numRef>
          </c:val>
        </c:ser>
        <c:ser>
          <c:idx val="4"/>
          <c:order val="4"/>
          <c:tx>
            <c:strRef>
              <c:f>Sheet1!$F$1</c:f>
              <c:strCache>
                <c:ptCount val="1"/>
                <c:pt idx="0">
                  <c:v>Jan'12</c:v>
                </c:pt>
              </c:strCache>
            </c:strRef>
          </c:tx>
          <c:spPr>
            <a:solidFill>
              <a:srgbClr val="4BACC6"/>
            </a:solidFill>
          </c:spPr>
          <c:invertIfNegative val="0"/>
          <c:dLbls>
            <c:txPr>
              <a:bodyPr/>
              <a:lstStyle/>
              <a:p>
                <a:pPr>
                  <a:defRPr sz="800"/>
                </a:pPr>
                <a:endParaRPr lang="en-US"/>
              </a:p>
            </c:txPr>
            <c:showLegendKey val="0"/>
            <c:showVal val="1"/>
            <c:showCatName val="0"/>
            <c:showSerName val="0"/>
            <c:showPercent val="0"/>
            <c:showBubbleSize val="0"/>
            <c:showLeaderLines val="0"/>
          </c:dLbls>
          <c:cat>
            <c:strRef>
              <c:f>Sheet1!$A$2:$A$4</c:f>
              <c:strCache>
                <c:ptCount val="3"/>
                <c:pt idx="0">
                  <c:v>Spend Less</c:v>
                </c:pt>
                <c:pt idx="1">
                  <c:v>Same</c:v>
                </c:pt>
                <c:pt idx="2">
                  <c:v>Spend More</c:v>
                </c:pt>
              </c:strCache>
            </c:strRef>
          </c:cat>
          <c:val>
            <c:numRef>
              <c:f>Sheet1!$F$2:$F$4</c:f>
              <c:numCache>
                <c:formatCode>0%</c:formatCode>
                <c:ptCount val="3"/>
                <c:pt idx="0">
                  <c:v>0.28999999999999998</c:v>
                </c:pt>
                <c:pt idx="1">
                  <c:v>0.48</c:v>
                </c:pt>
                <c:pt idx="2">
                  <c:v>0.24</c:v>
                </c:pt>
              </c:numCache>
            </c:numRef>
          </c:val>
        </c:ser>
        <c:ser>
          <c:idx val="5"/>
          <c:order val="5"/>
          <c:tx>
            <c:strRef>
              <c:f>Sheet1!$G$1</c:f>
              <c:strCache>
                <c:ptCount val="1"/>
                <c:pt idx="0">
                  <c:v>Apr'12</c:v>
                </c:pt>
              </c:strCache>
            </c:strRef>
          </c:tx>
          <c:invertIfNegative val="0"/>
          <c:dLbls>
            <c:txPr>
              <a:bodyPr/>
              <a:lstStyle/>
              <a:p>
                <a:pPr>
                  <a:defRPr sz="800"/>
                </a:pPr>
                <a:endParaRPr lang="en-US"/>
              </a:p>
            </c:txPr>
            <c:showLegendKey val="0"/>
            <c:showVal val="1"/>
            <c:showCatName val="0"/>
            <c:showSerName val="0"/>
            <c:showPercent val="0"/>
            <c:showBubbleSize val="0"/>
            <c:showLeaderLines val="0"/>
          </c:dLbls>
          <c:cat>
            <c:strRef>
              <c:f>Sheet1!$A$2:$A$4</c:f>
              <c:strCache>
                <c:ptCount val="3"/>
                <c:pt idx="0">
                  <c:v>Spend Less</c:v>
                </c:pt>
                <c:pt idx="1">
                  <c:v>Same</c:v>
                </c:pt>
                <c:pt idx="2">
                  <c:v>Spend More</c:v>
                </c:pt>
              </c:strCache>
            </c:strRef>
          </c:cat>
          <c:val>
            <c:numRef>
              <c:f>Sheet1!$G$2:$G$4</c:f>
              <c:numCache>
                <c:formatCode>0%</c:formatCode>
                <c:ptCount val="3"/>
                <c:pt idx="0">
                  <c:v>0.25</c:v>
                </c:pt>
                <c:pt idx="1">
                  <c:v>0.44</c:v>
                </c:pt>
                <c:pt idx="2">
                  <c:v>0.31</c:v>
                </c:pt>
              </c:numCache>
            </c:numRef>
          </c:val>
        </c:ser>
        <c:dLbls>
          <c:showLegendKey val="0"/>
          <c:showVal val="1"/>
          <c:showCatName val="0"/>
          <c:showSerName val="0"/>
          <c:showPercent val="0"/>
          <c:showBubbleSize val="0"/>
        </c:dLbls>
        <c:gapWidth val="150"/>
        <c:axId val="193852160"/>
        <c:axId val="193853696"/>
      </c:barChart>
      <c:catAx>
        <c:axId val="193852160"/>
        <c:scaling>
          <c:orientation val="minMax"/>
        </c:scaling>
        <c:delete val="0"/>
        <c:axPos val="b"/>
        <c:numFmt formatCode="General" sourceLinked="1"/>
        <c:majorTickMark val="out"/>
        <c:minorTickMark val="none"/>
        <c:tickLblPos val="nextTo"/>
        <c:txPr>
          <a:bodyPr/>
          <a:lstStyle/>
          <a:p>
            <a:pPr>
              <a:defRPr b="0"/>
            </a:pPr>
            <a:endParaRPr lang="en-US"/>
          </a:p>
        </c:txPr>
        <c:crossAx val="193853696"/>
        <c:crosses val="autoZero"/>
        <c:auto val="1"/>
        <c:lblAlgn val="ctr"/>
        <c:lblOffset val="100"/>
        <c:noMultiLvlLbl val="0"/>
      </c:catAx>
      <c:valAx>
        <c:axId val="193853696"/>
        <c:scaling>
          <c:orientation val="minMax"/>
        </c:scaling>
        <c:delete val="0"/>
        <c:axPos val="l"/>
        <c:numFmt formatCode="0%" sourceLinked="1"/>
        <c:majorTickMark val="out"/>
        <c:minorTickMark val="none"/>
        <c:tickLblPos val="nextTo"/>
        <c:txPr>
          <a:bodyPr/>
          <a:lstStyle/>
          <a:p>
            <a:pPr>
              <a:defRPr b="0"/>
            </a:pPr>
            <a:endParaRPr lang="en-US"/>
          </a:p>
        </c:txPr>
        <c:crossAx val="193852160"/>
        <c:crosses val="autoZero"/>
        <c:crossBetween val="between"/>
        <c:majorUnit val="0.1"/>
      </c:valAx>
    </c:plotArea>
    <c:legend>
      <c:legendPos val="t"/>
      <c:layout>
        <c:manualLayout>
          <c:xMode val="edge"/>
          <c:yMode val="edge"/>
          <c:x val="9.2974190726159242E-2"/>
          <c:y val="0.2500636393053608"/>
          <c:w val="0.74383811172532877"/>
          <c:h val="9.0370247488741673E-2"/>
        </c:manualLayout>
      </c:layout>
      <c:overlay val="0"/>
      <c:txPr>
        <a:bodyPr/>
        <a:lstStyle/>
        <a:p>
          <a:pPr>
            <a:defRPr sz="1200" b="0"/>
          </a:pPr>
          <a:endParaRPr lang="en-US"/>
        </a:p>
      </c:txPr>
    </c:legend>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Sheet1!$A$2</c:f>
              <c:strCache>
                <c:ptCount val="1"/>
                <c:pt idx="0">
                  <c:v>Overall Outlook Index</c:v>
                </c:pt>
              </c:strCache>
            </c:strRef>
          </c:tx>
          <c:marker>
            <c:symbol val="diamond"/>
            <c:size val="9"/>
          </c:marker>
          <c:cat>
            <c:strRef>
              <c:f>Sheet1!$B$1:$BG$1</c:f>
              <c:strCache>
                <c:ptCount val="58"/>
                <c:pt idx="0">
                  <c:v>N00</c:v>
                </c:pt>
                <c:pt idx="1">
                  <c:v>F01</c:v>
                </c:pt>
                <c:pt idx="2">
                  <c:v>M01</c:v>
                </c:pt>
                <c:pt idx="3">
                  <c:v>Ju01</c:v>
                </c:pt>
                <c:pt idx="4">
                  <c:v>O01</c:v>
                </c:pt>
                <c:pt idx="5">
                  <c:v>N01</c:v>
                </c:pt>
                <c:pt idx="6">
                  <c:v>F02</c:v>
                </c:pt>
                <c:pt idx="7">
                  <c:v>Ap02</c:v>
                </c:pt>
                <c:pt idx="8">
                  <c:v>Au02</c:v>
                </c:pt>
                <c:pt idx="9">
                  <c:v>Oc02</c:v>
                </c:pt>
                <c:pt idx="10">
                  <c:v>N02</c:v>
                </c:pt>
                <c:pt idx="11">
                  <c:v>F03</c:v>
                </c:pt>
                <c:pt idx="12">
                  <c:v>Ap03</c:v>
                </c:pt>
                <c:pt idx="13">
                  <c:v>Ju03</c:v>
                </c:pt>
                <c:pt idx="14">
                  <c:v>Se03</c:v>
                </c:pt>
                <c:pt idx="15">
                  <c:v>De03</c:v>
                </c:pt>
                <c:pt idx="16">
                  <c:v>Ja04</c:v>
                </c:pt>
                <c:pt idx="17">
                  <c:v>Ap04</c:v>
                </c:pt>
                <c:pt idx="18">
                  <c:v>Ju04</c:v>
                </c:pt>
                <c:pt idx="19">
                  <c:v>Se04</c:v>
                </c:pt>
                <c:pt idx="20">
                  <c:v>De04</c:v>
                </c:pt>
                <c:pt idx="21">
                  <c:v>Fe05</c:v>
                </c:pt>
                <c:pt idx="22">
                  <c:v>Ap05</c:v>
                </c:pt>
                <c:pt idx="23">
                  <c:v>Ma05</c:v>
                </c:pt>
                <c:pt idx="24">
                  <c:v>Se05</c:v>
                </c:pt>
                <c:pt idx="25">
                  <c:v>No05</c:v>
                </c:pt>
                <c:pt idx="26">
                  <c:v>Fe06</c:v>
                </c:pt>
                <c:pt idx="27">
                  <c:v>Ap06</c:v>
                </c:pt>
                <c:pt idx="28">
                  <c:v>Ma06</c:v>
                </c:pt>
                <c:pt idx="29">
                  <c:v>Se06</c:v>
                </c:pt>
                <c:pt idx="30">
                  <c:v>De06</c:v>
                </c:pt>
                <c:pt idx="31">
                  <c:v>Fe07</c:v>
                </c:pt>
                <c:pt idx="32">
                  <c:v>Ap07</c:v>
                </c:pt>
                <c:pt idx="33">
                  <c:v>Ma07</c:v>
                </c:pt>
                <c:pt idx="34">
                  <c:v>Se07</c:v>
                </c:pt>
                <c:pt idx="35">
                  <c:v>No07</c:v>
                </c:pt>
                <c:pt idx="36">
                  <c:v>Fe08</c:v>
                </c:pt>
                <c:pt idx="37">
                  <c:v>Ap08</c:v>
                </c:pt>
                <c:pt idx="38">
                  <c:v>Ma08</c:v>
                </c:pt>
                <c:pt idx="39">
                  <c:v>Oc08</c:v>
                </c:pt>
                <c:pt idx="40">
                  <c:v>De08</c:v>
                </c:pt>
                <c:pt idx="41">
                  <c:v>Fe09</c:v>
                </c:pt>
                <c:pt idx="42">
                  <c:v>Ap09</c:v>
                </c:pt>
                <c:pt idx="43">
                  <c:v>Ma09</c:v>
                </c:pt>
                <c:pt idx="44">
                  <c:v>Se09</c:v>
                </c:pt>
                <c:pt idx="45">
                  <c:v>De09</c:v>
                </c:pt>
                <c:pt idx="46">
                  <c:v>Fe10</c:v>
                </c:pt>
                <c:pt idx="47">
                  <c:v>Ap10</c:v>
                </c:pt>
                <c:pt idx="48">
                  <c:v>Ju10</c:v>
                </c:pt>
                <c:pt idx="49">
                  <c:v>Se10</c:v>
                </c:pt>
                <c:pt idx="50">
                  <c:v>De10</c:v>
                </c:pt>
                <c:pt idx="51">
                  <c:v>Fe11</c:v>
                </c:pt>
                <c:pt idx="52">
                  <c:v>Ap11</c:v>
                </c:pt>
                <c:pt idx="53">
                  <c:v>Ma11</c:v>
                </c:pt>
                <c:pt idx="54">
                  <c:v>Se11</c:v>
                </c:pt>
                <c:pt idx="55">
                  <c:v>De11</c:v>
                </c:pt>
                <c:pt idx="56">
                  <c:v>Ja12</c:v>
                </c:pt>
                <c:pt idx="57">
                  <c:v>Ap12</c:v>
                </c:pt>
              </c:strCache>
            </c:strRef>
          </c:cat>
          <c:val>
            <c:numRef>
              <c:f>Sheet1!$B$2:$BG$2</c:f>
              <c:numCache>
                <c:formatCode>General</c:formatCode>
                <c:ptCount val="58"/>
                <c:pt idx="0" formatCode="0">
                  <c:v>361.1</c:v>
                </c:pt>
                <c:pt idx="1">
                  <c:v>312.3</c:v>
                </c:pt>
                <c:pt idx="2">
                  <c:v>326.60000000000002</c:v>
                </c:pt>
                <c:pt idx="3">
                  <c:v>299.3</c:v>
                </c:pt>
                <c:pt idx="4">
                  <c:v>315</c:v>
                </c:pt>
                <c:pt idx="5">
                  <c:v>368</c:v>
                </c:pt>
                <c:pt idx="6">
                  <c:v>328.2</c:v>
                </c:pt>
                <c:pt idx="7">
                  <c:v>326</c:v>
                </c:pt>
                <c:pt idx="8">
                  <c:v>269</c:v>
                </c:pt>
                <c:pt idx="9">
                  <c:v>227</c:v>
                </c:pt>
                <c:pt idx="10" formatCode="0">
                  <c:v>286</c:v>
                </c:pt>
                <c:pt idx="11">
                  <c:v>191</c:v>
                </c:pt>
                <c:pt idx="12">
                  <c:v>342</c:v>
                </c:pt>
                <c:pt idx="13">
                  <c:v>345</c:v>
                </c:pt>
                <c:pt idx="14">
                  <c:v>306</c:v>
                </c:pt>
                <c:pt idx="15">
                  <c:v>390</c:v>
                </c:pt>
                <c:pt idx="16">
                  <c:v>301</c:v>
                </c:pt>
                <c:pt idx="17">
                  <c:v>317</c:v>
                </c:pt>
                <c:pt idx="18">
                  <c:v>360</c:v>
                </c:pt>
                <c:pt idx="19">
                  <c:v>318</c:v>
                </c:pt>
                <c:pt idx="20">
                  <c:v>336</c:v>
                </c:pt>
                <c:pt idx="21">
                  <c:v>307</c:v>
                </c:pt>
                <c:pt idx="22">
                  <c:v>264</c:v>
                </c:pt>
                <c:pt idx="23">
                  <c:v>294</c:v>
                </c:pt>
                <c:pt idx="24">
                  <c:v>264</c:v>
                </c:pt>
                <c:pt idx="25">
                  <c:v>308</c:v>
                </c:pt>
                <c:pt idx="26">
                  <c:v>311</c:v>
                </c:pt>
                <c:pt idx="27">
                  <c:v>260</c:v>
                </c:pt>
                <c:pt idx="28">
                  <c:v>283</c:v>
                </c:pt>
                <c:pt idx="29">
                  <c:v>335</c:v>
                </c:pt>
                <c:pt idx="30">
                  <c:v>242</c:v>
                </c:pt>
                <c:pt idx="31">
                  <c:v>319</c:v>
                </c:pt>
                <c:pt idx="32">
                  <c:v>278</c:v>
                </c:pt>
                <c:pt idx="33">
                  <c:v>206</c:v>
                </c:pt>
                <c:pt idx="34">
                  <c:v>242</c:v>
                </c:pt>
                <c:pt idx="35">
                  <c:v>225</c:v>
                </c:pt>
                <c:pt idx="36">
                  <c:v>158</c:v>
                </c:pt>
                <c:pt idx="37">
                  <c:v>44</c:v>
                </c:pt>
                <c:pt idx="38">
                  <c:v>30</c:v>
                </c:pt>
                <c:pt idx="39">
                  <c:v>1</c:v>
                </c:pt>
                <c:pt idx="40">
                  <c:v>4</c:v>
                </c:pt>
                <c:pt idx="41">
                  <c:v>-66</c:v>
                </c:pt>
                <c:pt idx="42">
                  <c:v>105</c:v>
                </c:pt>
                <c:pt idx="43">
                  <c:v>113</c:v>
                </c:pt>
                <c:pt idx="44">
                  <c:v>142</c:v>
                </c:pt>
                <c:pt idx="45">
                  <c:v>83</c:v>
                </c:pt>
                <c:pt idx="46">
                  <c:v>53</c:v>
                </c:pt>
                <c:pt idx="47">
                  <c:v>99</c:v>
                </c:pt>
                <c:pt idx="48">
                  <c:v>102</c:v>
                </c:pt>
                <c:pt idx="49">
                  <c:v>76</c:v>
                </c:pt>
                <c:pt idx="50">
                  <c:v>69</c:v>
                </c:pt>
                <c:pt idx="51">
                  <c:v>129</c:v>
                </c:pt>
                <c:pt idx="52">
                  <c:v>54</c:v>
                </c:pt>
                <c:pt idx="53">
                  <c:v>63</c:v>
                </c:pt>
                <c:pt idx="54">
                  <c:v>27</c:v>
                </c:pt>
                <c:pt idx="55">
                  <c:v>112</c:v>
                </c:pt>
                <c:pt idx="56">
                  <c:v>151</c:v>
                </c:pt>
                <c:pt idx="57">
                  <c:v>184</c:v>
                </c:pt>
              </c:numCache>
            </c:numRef>
          </c:val>
          <c:smooth val="0"/>
        </c:ser>
        <c:ser>
          <c:idx val="1"/>
          <c:order val="1"/>
          <c:tx>
            <c:strRef>
              <c:f>Sheet1!$A$3</c:f>
              <c:strCache>
                <c:ptCount val="1"/>
                <c:pt idx="0">
                  <c:v>Present Sit. Index</c:v>
                </c:pt>
              </c:strCache>
            </c:strRef>
          </c:tx>
          <c:marker>
            <c:symbol val="square"/>
            <c:size val="7"/>
          </c:marker>
          <c:cat>
            <c:strRef>
              <c:f>Sheet1!$B$1:$BG$1</c:f>
              <c:strCache>
                <c:ptCount val="58"/>
                <c:pt idx="0">
                  <c:v>N00</c:v>
                </c:pt>
                <c:pt idx="1">
                  <c:v>F01</c:v>
                </c:pt>
                <c:pt idx="2">
                  <c:v>M01</c:v>
                </c:pt>
                <c:pt idx="3">
                  <c:v>Ju01</c:v>
                </c:pt>
                <c:pt idx="4">
                  <c:v>O01</c:v>
                </c:pt>
                <c:pt idx="5">
                  <c:v>N01</c:v>
                </c:pt>
                <c:pt idx="6">
                  <c:v>F02</c:v>
                </c:pt>
                <c:pt idx="7">
                  <c:v>Ap02</c:v>
                </c:pt>
                <c:pt idx="8">
                  <c:v>Au02</c:v>
                </c:pt>
                <c:pt idx="9">
                  <c:v>Oc02</c:v>
                </c:pt>
                <c:pt idx="10">
                  <c:v>N02</c:v>
                </c:pt>
                <c:pt idx="11">
                  <c:v>F03</c:v>
                </c:pt>
                <c:pt idx="12">
                  <c:v>Ap03</c:v>
                </c:pt>
                <c:pt idx="13">
                  <c:v>Ju03</c:v>
                </c:pt>
                <c:pt idx="14">
                  <c:v>Se03</c:v>
                </c:pt>
                <c:pt idx="15">
                  <c:v>De03</c:v>
                </c:pt>
                <c:pt idx="16">
                  <c:v>Ja04</c:v>
                </c:pt>
                <c:pt idx="17">
                  <c:v>Ap04</c:v>
                </c:pt>
                <c:pt idx="18">
                  <c:v>Ju04</c:v>
                </c:pt>
                <c:pt idx="19">
                  <c:v>Se04</c:v>
                </c:pt>
                <c:pt idx="20">
                  <c:v>De04</c:v>
                </c:pt>
                <c:pt idx="21">
                  <c:v>Fe05</c:v>
                </c:pt>
                <c:pt idx="22">
                  <c:v>Ap05</c:v>
                </c:pt>
                <c:pt idx="23">
                  <c:v>Ma05</c:v>
                </c:pt>
                <c:pt idx="24">
                  <c:v>Se05</c:v>
                </c:pt>
                <c:pt idx="25">
                  <c:v>No05</c:v>
                </c:pt>
                <c:pt idx="26">
                  <c:v>Fe06</c:v>
                </c:pt>
                <c:pt idx="27">
                  <c:v>Ap06</c:v>
                </c:pt>
                <c:pt idx="28">
                  <c:v>Ma06</c:v>
                </c:pt>
                <c:pt idx="29">
                  <c:v>Se06</c:v>
                </c:pt>
                <c:pt idx="30">
                  <c:v>De06</c:v>
                </c:pt>
                <c:pt idx="31">
                  <c:v>Fe07</c:v>
                </c:pt>
                <c:pt idx="32">
                  <c:v>Ap07</c:v>
                </c:pt>
                <c:pt idx="33">
                  <c:v>Ma07</c:v>
                </c:pt>
                <c:pt idx="34">
                  <c:v>Se07</c:v>
                </c:pt>
                <c:pt idx="35">
                  <c:v>No07</c:v>
                </c:pt>
                <c:pt idx="36">
                  <c:v>Fe08</c:v>
                </c:pt>
                <c:pt idx="37">
                  <c:v>Ap08</c:v>
                </c:pt>
                <c:pt idx="38">
                  <c:v>Ma08</c:v>
                </c:pt>
                <c:pt idx="39">
                  <c:v>Oc08</c:v>
                </c:pt>
                <c:pt idx="40">
                  <c:v>De08</c:v>
                </c:pt>
                <c:pt idx="41">
                  <c:v>Fe09</c:v>
                </c:pt>
                <c:pt idx="42">
                  <c:v>Ap09</c:v>
                </c:pt>
                <c:pt idx="43">
                  <c:v>Ma09</c:v>
                </c:pt>
                <c:pt idx="44">
                  <c:v>Se09</c:v>
                </c:pt>
                <c:pt idx="45">
                  <c:v>De09</c:v>
                </c:pt>
                <c:pt idx="46">
                  <c:v>Fe10</c:v>
                </c:pt>
                <c:pt idx="47">
                  <c:v>Ap10</c:v>
                </c:pt>
                <c:pt idx="48">
                  <c:v>Ju10</c:v>
                </c:pt>
                <c:pt idx="49">
                  <c:v>Se10</c:v>
                </c:pt>
                <c:pt idx="50">
                  <c:v>De10</c:v>
                </c:pt>
                <c:pt idx="51">
                  <c:v>Fe11</c:v>
                </c:pt>
                <c:pt idx="52">
                  <c:v>Ap11</c:v>
                </c:pt>
                <c:pt idx="53">
                  <c:v>Ma11</c:v>
                </c:pt>
                <c:pt idx="54">
                  <c:v>Se11</c:v>
                </c:pt>
                <c:pt idx="55">
                  <c:v>De11</c:v>
                </c:pt>
                <c:pt idx="56">
                  <c:v>Ja12</c:v>
                </c:pt>
                <c:pt idx="57">
                  <c:v>Ap12</c:v>
                </c:pt>
              </c:strCache>
            </c:strRef>
          </c:cat>
          <c:val>
            <c:numRef>
              <c:f>Sheet1!$B$3:$BG$3</c:f>
              <c:numCache>
                <c:formatCode>General</c:formatCode>
                <c:ptCount val="58"/>
                <c:pt idx="0" formatCode="0">
                  <c:v>203.2</c:v>
                </c:pt>
                <c:pt idx="1">
                  <c:v>141.19999999999999</c:v>
                </c:pt>
                <c:pt idx="2">
                  <c:v>132.9</c:v>
                </c:pt>
                <c:pt idx="3">
                  <c:v>114.4</c:v>
                </c:pt>
                <c:pt idx="4">
                  <c:v>73.7</c:v>
                </c:pt>
                <c:pt idx="5">
                  <c:v>55.8</c:v>
                </c:pt>
                <c:pt idx="6">
                  <c:v>46.8</c:v>
                </c:pt>
                <c:pt idx="7">
                  <c:v>53</c:v>
                </c:pt>
                <c:pt idx="8">
                  <c:v>29</c:v>
                </c:pt>
                <c:pt idx="9">
                  <c:v>6</c:v>
                </c:pt>
                <c:pt idx="10" formatCode="0">
                  <c:v>23</c:v>
                </c:pt>
                <c:pt idx="11">
                  <c:v>4</c:v>
                </c:pt>
                <c:pt idx="12">
                  <c:v>28</c:v>
                </c:pt>
                <c:pt idx="13">
                  <c:v>23</c:v>
                </c:pt>
                <c:pt idx="14">
                  <c:v>30</c:v>
                </c:pt>
                <c:pt idx="15">
                  <c:v>72</c:v>
                </c:pt>
                <c:pt idx="16">
                  <c:v>46</c:v>
                </c:pt>
                <c:pt idx="17">
                  <c:v>54</c:v>
                </c:pt>
                <c:pt idx="18">
                  <c:v>81</c:v>
                </c:pt>
                <c:pt idx="19">
                  <c:v>76</c:v>
                </c:pt>
                <c:pt idx="20">
                  <c:v>89</c:v>
                </c:pt>
                <c:pt idx="21">
                  <c:v>96</c:v>
                </c:pt>
                <c:pt idx="22">
                  <c:v>81</c:v>
                </c:pt>
                <c:pt idx="23">
                  <c:v>101</c:v>
                </c:pt>
                <c:pt idx="24">
                  <c:v>100</c:v>
                </c:pt>
                <c:pt idx="25">
                  <c:v>109</c:v>
                </c:pt>
                <c:pt idx="26">
                  <c:v>111</c:v>
                </c:pt>
                <c:pt idx="27">
                  <c:v>118</c:v>
                </c:pt>
                <c:pt idx="28">
                  <c:v>115</c:v>
                </c:pt>
                <c:pt idx="29">
                  <c:v>146</c:v>
                </c:pt>
                <c:pt idx="30">
                  <c:v>102</c:v>
                </c:pt>
                <c:pt idx="31">
                  <c:v>132</c:v>
                </c:pt>
                <c:pt idx="32">
                  <c:v>120</c:v>
                </c:pt>
                <c:pt idx="33">
                  <c:v>94</c:v>
                </c:pt>
                <c:pt idx="34">
                  <c:v>105</c:v>
                </c:pt>
                <c:pt idx="35">
                  <c:v>88</c:v>
                </c:pt>
                <c:pt idx="36">
                  <c:v>49</c:v>
                </c:pt>
                <c:pt idx="37">
                  <c:v>-15</c:v>
                </c:pt>
                <c:pt idx="38">
                  <c:v>-19</c:v>
                </c:pt>
                <c:pt idx="39">
                  <c:v>-57</c:v>
                </c:pt>
                <c:pt idx="40">
                  <c:v>-109</c:v>
                </c:pt>
                <c:pt idx="41">
                  <c:v>-160</c:v>
                </c:pt>
                <c:pt idx="42">
                  <c:v>-121</c:v>
                </c:pt>
                <c:pt idx="43">
                  <c:v>-118</c:v>
                </c:pt>
                <c:pt idx="44">
                  <c:v>-107</c:v>
                </c:pt>
                <c:pt idx="45">
                  <c:v>-101</c:v>
                </c:pt>
                <c:pt idx="46">
                  <c:v>-125</c:v>
                </c:pt>
                <c:pt idx="47">
                  <c:v>-99</c:v>
                </c:pt>
                <c:pt idx="48">
                  <c:v>-86</c:v>
                </c:pt>
                <c:pt idx="49">
                  <c:v>-93</c:v>
                </c:pt>
                <c:pt idx="50">
                  <c:v>-90</c:v>
                </c:pt>
                <c:pt idx="51">
                  <c:v>-74</c:v>
                </c:pt>
                <c:pt idx="52">
                  <c:v>-83</c:v>
                </c:pt>
                <c:pt idx="53">
                  <c:v>-80</c:v>
                </c:pt>
                <c:pt idx="54">
                  <c:v>-86</c:v>
                </c:pt>
                <c:pt idx="55">
                  <c:v>-64</c:v>
                </c:pt>
                <c:pt idx="56">
                  <c:v>-55</c:v>
                </c:pt>
                <c:pt idx="57">
                  <c:v>-24</c:v>
                </c:pt>
              </c:numCache>
            </c:numRef>
          </c:val>
          <c:smooth val="0"/>
        </c:ser>
        <c:ser>
          <c:idx val="2"/>
          <c:order val="2"/>
          <c:tx>
            <c:strRef>
              <c:f>Sheet1!$A$4</c:f>
              <c:strCache>
                <c:ptCount val="1"/>
                <c:pt idx="0">
                  <c:v>Future Exp. Index</c:v>
                </c:pt>
              </c:strCache>
            </c:strRef>
          </c:tx>
          <c:marker>
            <c:spPr>
              <a:solidFill>
                <a:srgbClr val="00B050"/>
              </a:solidFill>
            </c:spPr>
          </c:marker>
          <c:cat>
            <c:strRef>
              <c:f>Sheet1!$B$1:$BG$1</c:f>
              <c:strCache>
                <c:ptCount val="58"/>
                <c:pt idx="0">
                  <c:v>N00</c:v>
                </c:pt>
                <c:pt idx="1">
                  <c:v>F01</c:v>
                </c:pt>
                <c:pt idx="2">
                  <c:v>M01</c:v>
                </c:pt>
                <c:pt idx="3">
                  <c:v>Ju01</c:v>
                </c:pt>
                <c:pt idx="4">
                  <c:v>O01</c:v>
                </c:pt>
                <c:pt idx="5">
                  <c:v>N01</c:v>
                </c:pt>
                <c:pt idx="6">
                  <c:v>F02</c:v>
                </c:pt>
                <c:pt idx="7">
                  <c:v>Ap02</c:v>
                </c:pt>
                <c:pt idx="8">
                  <c:v>Au02</c:v>
                </c:pt>
                <c:pt idx="9">
                  <c:v>Oc02</c:v>
                </c:pt>
                <c:pt idx="10">
                  <c:v>N02</c:v>
                </c:pt>
                <c:pt idx="11">
                  <c:v>F03</c:v>
                </c:pt>
                <c:pt idx="12">
                  <c:v>Ap03</c:v>
                </c:pt>
                <c:pt idx="13">
                  <c:v>Ju03</c:v>
                </c:pt>
                <c:pt idx="14">
                  <c:v>Se03</c:v>
                </c:pt>
                <c:pt idx="15">
                  <c:v>De03</c:v>
                </c:pt>
                <c:pt idx="16">
                  <c:v>Ja04</c:v>
                </c:pt>
                <c:pt idx="17">
                  <c:v>Ap04</c:v>
                </c:pt>
                <c:pt idx="18">
                  <c:v>Ju04</c:v>
                </c:pt>
                <c:pt idx="19">
                  <c:v>Se04</c:v>
                </c:pt>
                <c:pt idx="20">
                  <c:v>De04</c:v>
                </c:pt>
                <c:pt idx="21">
                  <c:v>Fe05</c:v>
                </c:pt>
                <c:pt idx="22">
                  <c:v>Ap05</c:v>
                </c:pt>
                <c:pt idx="23">
                  <c:v>Ma05</c:v>
                </c:pt>
                <c:pt idx="24">
                  <c:v>Se05</c:v>
                </c:pt>
                <c:pt idx="25">
                  <c:v>No05</c:v>
                </c:pt>
                <c:pt idx="26">
                  <c:v>Fe06</c:v>
                </c:pt>
                <c:pt idx="27">
                  <c:v>Ap06</c:v>
                </c:pt>
                <c:pt idx="28">
                  <c:v>Ma06</c:v>
                </c:pt>
                <c:pt idx="29">
                  <c:v>Se06</c:v>
                </c:pt>
                <c:pt idx="30">
                  <c:v>De06</c:v>
                </c:pt>
                <c:pt idx="31">
                  <c:v>Fe07</c:v>
                </c:pt>
                <c:pt idx="32">
                  <c:v>Ap07</c:v>
                </c:pt>
                <c:pt idx="33">
                  <c:v>Ma07</c:v>
                </c:pt>
                <c:pt idx="34">
                  <c:v>Se07</c:v>
                </c:pt>
                <c:pt idx="35">
                  <c:v>No07</c:v>
                </c:pt>
                <c:pt idx="36">
                  <c:v>Fe08</c:v>
                </c:pt>
                <c:pt idx="37">
                  <c:v>Ap08</c:v>
                </c:pt>
                <c:pt idx="38">
                  <c:v>Ma08</c:v>
                </c:pt>
                <c:pt idx="39">
                  <c:v>Oc08</c:v>
                </c:pt>
                <c:pt idx="40">
                  <c:v>De08</c:v>
                </c:pt>
                <c:pt idx="41">
                  <c:v>Fe09</c:v>
                </c:pt>
                <c:pt idx="42">
                  <c:v>Ap09</c:v>
                </c:pt>
                <c:pt idx="43">
                  <c:v>Ma09</c:v>
                </c:pt>
                <c:pt idx="44">
                  <c:v>Se09</c:v>
                </c:pt>
                <c:pt idx="45">
                  <c:v>De09</c:v>
                </c:pt>
                <c:pt idx="46">
                  <c:v>Fe10</c:v>
                </c:pt>
                <c:pt idx="47">
                  <c:v>Ap10</c:v>
                </c:pt>
                <c:pt idx="48">
                  <c:v>Ju10</c:v>
                </c:pt>
                <c:pt idx="49">
                  <c:v>Se10</c:v>
                </c:pt>
                <c:pt idx="50">
                  <c:v>De10</c:v>
                </c:pt>
                <c:pt idx="51">
                  <c:v>Fe11</c:v>
                </c:pt>
                <c:pt idx="52">
                  <c:v>Ap11</c:v>
                </c:pt>
                <c:pt idx="53">
                  <c:v>Ma11</c:v>
                </c:pt>
                <c:pt idx="54">
                  <c:v>Se11</c:v>
                </c:pt>
                <c:pt idx="55">
                  <c:v>De11</c:v>
                </c:pt>
                <c:pt idx="56">
                  <c:v>Ja12</c:v>
                </c:pt>
                <c:pt idx="57">
                  <c:v>Ap12</c:v>
                </c:pt>
              </c:strCache>
            </c:strRef>
          </c:cat>
          <c:val>
            <c:numRef>
              <c:f>Sheet1!$B$4:$BG$4</c:f>
              <c:numCache>
                <c:formatCode>General</c:formatCode>
                <c:ptCount val="58"/>
                <c:pt idx="0" formatCode="0">
                  <c:v>73.8</c:v>
                </c:pt>
                <c:pt idx="1">
                  <c:v>60.7</c:v>
                </c:pt>
                <c:pt idx="2">
                  <c:v>83.5</c:v>
                </c:pt>
                <c:pt idx="3">
                  <c:v>79.2</c:v>
                </c:pt>
                <c:pt idx="4">
                  <c:v>105.1</c:v>
                </c:pt>
                <c:pt idx="5">
                  <c:v>136</c:v>
                </c:pt>
                <c:pt idx="6">
                  <c:v>138.69999999999999</c:v>
                </c:pt>
                <c:pt idx="7">
                  <c:v>118</c:v>
                </c:pt>
                <c:pt idx="8">
                  <c:v>102</c:v>
                </c:pt>
                <c:pt idx="9">
                  <c:v>89</c:v>
                </c:pt>
                <c:pt idx="10" formatCode="0">
                  <c:v>113</c:v>
                </c:pt>
                <c:pt idx="11">
                  <c:v>69</c:v>
                </c:pt>
                <c:pt idx="12">
                  <c:v>156</c:v>
                </c:pt>
                <c:pt idx="13">
                  <c:v>159</c:v>
                </c:pt>
                <c:pt idx="14">
                  <c:v>128</c:v>
                </c:pt>
                <c:pt idx="15">
                  <c:v>159</c:v>
                </c:pt>
                <c:pt idx="16">
                  <c:v>124</c:v>
                </c:pt>
                <c:pt idx="17">
                  <c:v>114</c:v>
                </c:pt>
                <c:pt idx="18">
                  <c:v>130</c:v>
                </c:pt>
                <c:pt idx="19">
                  <c:v>100</c:v>
                </c:pt>
                <c:pt idx="20">
                  <c:v>111</c:v>
                </c:pt>
                <c:pt idx="21">
                  <c:v>87</c:v>
                </c:pt>
                <c:pt idx="22">
                  <c:v>79</c:v>
                </c:pt>
                <c:pt idx="23">
                  <c:v>84</c:v>
                </c:pt>
                <c:pt idx="24">
                  <c:v>67</c:v>
                </c:pt>
                <c:pt idx="25">
                  <c:v>108</c:v>
                </c:pt>
                <c:pt idx="26">
                  <c:v>106</c:v>
                </c:pt>
                <c:pt idx="27">
                  <c:v>68</c:v>
                </c:pt>
                <c:pt idx="28">
                  <c:v>110</c:v>
                </c:pt>
                <c:pt idx="29">
                  <c:v>105</c:v>
                </c:pt>
                <c:pt idx="30">
                  <c:v>58</c:v>
                </c:pt>
                <c:pt idx="31">
                  <c:v>89</c:v>
                </c:pt>
                <c:pt idx="32">
                  <c:v>83</c:v>
                </c:pt>
                <c:pt idx="33">
                  <c:v>55</c:v>
                </c:pt>
                <c:pt idx="34">
                  <c:v>79</c:v>
                </c:pt>
                <c:pt idx="35">
                  <c:v>75</c:v>
                </c:pt>
                <c:pt idx="36">
                  <c:v>53</c:v>
                </c:pt>
                <c:pt idx="37">
                  <c:v>24</c:v>
                </c:pt>
                <c:pt idx="38">
                  <c:v>11</c:v>
                </c:pt>
                <c:pt idx="39">
                  <c:v>59</c:v>
                </c:pt>
                <c:pt idx="40">
                  <c:v>56</c:v>
                </c:pt>
                <c:pt idx="41">
                  <c:v>21</c:v>
                </c:pt>
                <c:pt idx="42">
                  <c:v>109</c:v>
                </c:pt>
                <c:pt idx="43">
                  <c:v>110</c:v>
                </c:pt>
                <c:pt idx="44">
                  <c:v>143</c:v>
                </c:pt>
                <c:pt idx="45">
                  <c:v>94</c:v>
                </c:pt>
                <c:pt idx="46">
                  <c:v>106</c:v>
                </c:pt>
                <c:pt idx="47">
                  <c:v>117</c:v>
                </c:pt>
                <c:pt idx="48">
                  <c:v>98</c:v>
                </c:pt>
                <c:pt idx="49">
                  <c:v>99</c:v>
                </c:pt>
                <c:pt idx="50">
                  <c:v>86</c:v>
                </c:pt>
                <c:pt idx="51">
                  <c:v>123</c:v>
                </c:pt>
                <c:pt idx="52">
                  <c:v>75</c:v>
                </c:pt>
                <c:pt idx="53">
                  <c:v>99</c:v>
                </c:pt>
                <c:pt idx="54">
                  <c:v>59</c:v>
                </c:pt>
                <c:pt idx="55">
                  <c:v>97</c:v>
                </c:pt>
                <c:pt idx="56">
                  <c:v>125</c:v>
                </c:pt>
                <c:pt idx="57">
                  <c:v>115</c:v>
                </c:pt>
              </c:numCache>
            </c:numRef>
          </c:val>
          <c:smooth val="0"/>
        </c:ser>
        <c:ser>
          <c:idx val="3"/>
          <c:order val="3"/>
          <c:tx>
            <c:strRef>
              <c:f>Sheet1!$A$5</c:f>
              <c:strCache>
                <c:ptCount val="1"/>
                <c:pt idx="0">
                  <c:v>Purchasing Index</c:v>
                </c:pt>
              </c:strCache>
            </c:strRef>
          </c:tx>
          <c:marker>
            <c:symbol val="circle"/>
            <c:size val="7"/>
            <c:spPr>
              <a:solidFill>
                <a:schemeClr val="accent4"/>
              </a:solidFill>
            </c:spPr>
          </c:marker>
          <c:cat>
            <c:strRef>
              <c:f>Sheet1!$B$1:$BG$1</c:f>
              <c:strCache>
                <c:ptCount val="58"/>
                <c:pt idx="0">
                  <c:v>N00</c:v>
                </c:pt>
                <c:pt idx="1">
                  <c:v>F01</c:v>
                </c:pt>
                <c:pt idx="2">
                  <c:v>M01</c:v>
                </c:pt>
                <c:pt idx="3">
                  <c:v>Ju01</c:v>
                </c:pt>
                <c:pt idx="4">
                  <c:v>O01</c:v>
                </c:pt>
                <c:pt idx="5">
                  <c:v>N01</c:v>
                </c:pt>
                <c:pt idx="6">
                  <c:v>F02</c:v>
                </c:pt>
                <c:pt idx="7">
                  <c:v>Ap02</c:v>
                </c:pt>
                <c:pt idx="8">
                  <c:v>Au02</c:v>
                </c:pt>
                <c:pt idx="9">
                  <c:v>Oc02</c:v>
                </c:pt>
                <c:pt idx="10">
                  <c:v>N02</c:v>
                </c:pt>
                <c:pt idx="11">
                  <c:v>F03</c:v>
                </c:pt>
                <c:pt idx="12">
                  <c:v>Ap03</c:v>
                </c:pt>
                <c:pt idx="13">
                  <c:v>Ju03</c:v>
                </c:pt>
                <c:pt idx="14">
                  <c:v>Se03</c:v>
                </c:pt>
                <c:pt idx="15">
                  <c:v>De03</c:v>
                </c:pt>
                <c:pt idx="16">
                  <c:v>Ja04</c:v>
                </c:pt>
                <c:pt idx="17">
                  <c:v>Ap04</c:v>
                </c:pt>
                <c:pt idx="18">
                  <c:v>Ju04</c:v>
                </c:pt>
                <c:pt idx="19">
                  <c:v>Se04</c:v>
                </c:pt>
                <c:pt idx="20">
                  <c:v>De04</c:v>
                </c:pt>
                <c:pt idx="21">
                  <c:v>Fe05</c:v>
                </c:pt>
                <c:pt idx="22">
                  <c:v>Ap05</c:v>
                </c:pt>
                <c:pt idx="23">
                  <c:v>Ma05</c:v>
                </c:pt>
                <c:pt idx="24">
                  <c:v>Se05</c:v>
                </c:pt>
                <c:pt idx="25">
                  <c:v>No05</c:v>
                </c:pt>
                <c:pt idx="26">
                  <c:v>Fe06</c:v>
                </c:pt>
                <c:pt idx="27">
                  <c:v>Ap06</c:v>
                </c:pt>
                <c:pt idx="28">
                  <c:v>Ma06</c:v>
                </c:pt>
                <c:pt idx="29">
                  <c:v>Se06</c:v>
                </c:pt>
                <c:pt idx="30">
                  <c:v>De06</c:v>
                </c:pt>
                <c:pt idx="31">
                  <c:v>Fe07</c:v>
                </c:pt>
                <c:pt idx="32">
                  <c:v>Ap07</c:v>
                </c:pt>
                <c:pt idx="33">
                  <c:v>Ma07</c:v>
                </c:pt>
                <c:pt idx="34">
                  <c:v>Se07</c:v>
                </c:pt>
                <c:pt idx="35">
                  <c:v>No07</c:v>
                </c:pt>
                <c:pt idx="36">
                  <c:v>Fe08</c:v>
                </c:pt>
                <c:pt idx="37">
                  <c:v>Ap08</c:v>
                </c:pt>
                <c:pt idx="38">
                  <c:v>Ma08</c:v>
                </c:pt>
                <c:pt idx="39">
                  <c:v>Oc08</c:v>
                </c:pt>
                <c:pt idx="40">
                  <c:v>De08</c:v>
                </c:pt>
                <c:pt idx="41">
                  <c:v>Fe09</c:v>
                </c:pt>
                <c:pt idx="42">
                  <c:v>Ap09</c:v>
                </c:pt>
                <c:pt idx="43">
                  <c:v>Ma09</c:v>
                </c:pt>
                <c:pt idx="44">
                  <c:v>Se09</c:v>
                </c:pt>
                <c:pt idx="45">
                  <c:v>De09</c:v>
                </c:pt>
                <c:pt idx="46">
                  <c:v>Fe10</c:v>
                </c:pt>
                <c:pt idx="47">
                  <c:v>Ap10</c:v>
                </c:pt>
                <c:pt idx="48">
                  <c:v>Ju10</c:v>
                </c:pt>
                <c:pt idx="49">
                  <c:v>Se10</c:v>
                </c:pt>
                <c:pt idx="50">
                  <c:v>De10</c:v>
                </c:pt>
                <c:pt idx="51">
                  <c:v>Fe11</c:v>
                </c:pt>
                <c:pt idx="52">
                  <c:v>Ap11</c:v>
                </c:pt>
                <c:pt idx="53">
                  <c:v>Ma11</c:v>
                </c:pt>
                <c:pt idx="54">
                  <c:v>Se11</c:v>
                </c:pt>
                <c:pt idx="55">
                  <c:v>De11</c:v>
                </c:pt>
                <c:pt idx="56">
                  <c:v>Ja12</c:v>
                </c:pt>
                <c:pt idx="57">
                  <c:v>Ap12</c:v>
                </c:pt>
              </c:strCache>
            </c:strRef>
          </c:cat>
          <c:val>
            <c:numRef>
              <c:f>Sheet1!$B$5:$BG$5</c:f>
              <c:numCache>
                <c:formatCode>General</c:formatCode>
                <c:ptCount val="58"/>
                <c:pt idx="0" formatCode="0">
                  <c:v>84.1</c:v>
                </c:pt>
                <c:pt idx="1">
                  <c:v>110.4</c:v>
                </c:pt>
                <c:pt idx="2">
                  <c:v>110.2</c:v>
                </c:pt>
                <c:pt idx="3">
                  <c:v>105.7</c:v>
                </c:pt>
                <c:pt idx="4">
                  <c:v>135.69999999999999</c:v>
                </c:pt>
                <c:pt idx="5">
                  <c:v>176.2</c:v>
                </c:pt>
                <c:pt idx="6">
                  <c:v>142.69999999999999</c:v>
                </c:pt>
                <c:pt idx="7">
                  <c:v>155</c:v>
                </c:pt>
                <c:pt idx="8">
                  <c:v>138</c:v>
                </c:pt>
                <c:pt idx="9">
                  <c:v>131</c:v>
                </c:pt>
                <c:pt idx="10" formatCode="0">
                  <c:v>150</c:v>
                </c:pt>
                <c:pt idx="11">
                  <c:v>118</c:v>
                </c:pt>
                <c:pt idx="12">
                  <c:v>158</c:v>
                </c:pt>
                <c:pt idx="13">
                  <c:v>163</c:v>
                </c:pt>
                <c:pt idx="14">
                  <c:v>148</c:v>
                </c:pt>
                <c:pt idx="15">
                  <c:v>159</c:v>
                </c:pt>
                <c:pt idx="16">
                  <c:v>131</c:v>
                </c:pt>
                <c:pt idx="17">
                  <c:v>149</c:v>
                </c:pt>
                <c:pt idx="18">
                  <c:v>149</c:v>
                </c:pt>
                <c:pt idx="19">
                  <c:v>142</c:v>
                </c:pt>
                <c:pt idx="20">
                  <c:v>136</c:v>
                </c:pt>
                <c:pt idx="21">
                  <c:v>124</c:v>
                </c:pt>
                <c:pt idx="22">
                  <c:v>104</c:v>
                </c:pt>
                <c:pt idx="23">
                  <c:v>109</c:v>
                </c:pt>
                <c:pt idx="24">
                  <c:v>97</c:v>
                </c:pt>
                <c:pt idx="25">
                  <c:v>91</c:v>
                </c:pt>
                <c:pt idx="26">
                  <c:v>94</c:v>
                </c:pt>
                <c:pt idx="27">
                  <c:v>74</c:v>
                </c:pt>
                <c:pt idx="28">
                  <c:v>58</c:v>
                </c:pt>
                <c:pt idx="29">
                  <c:v>84</c:v>
                </c:pt>
                <c:pt idx="30">
                  <c:v>82</c:v>
                </c:pt>
                <c:pt idx="31">
                  <c:v>98</c:v>
                </c:pt>
                <c:pt idx="32">
                  <c:v>75</c:v>
                </c:pt>
                <c:pt idx="33">
                  <c:v>57</c:v>
                </c:pt>
                <c:pt idx="34">
                  <c:v>58</c:v>
                </c:pt>
                <c:pt idx="35">
                  <c:v>62</c:v>
                </c:pt>
                <c:pt idx="36">
                  <c:v>56</c:v>
                </c:pt>
                <c:pt idx="37">
                  <c:v>35</c:v>
                </c:pt>
                <c:pt idx="38">
                  <c:v>38</c:v>
                </c:pt>
                <c:pt idx="39">
                  <c:v>-1</c:v>
                </c:pt>
                <c:pt idx="40">
                  <c:v>57</c:v>
                </c:pt>
                <c:pt idx="41">
                  <c:v>73</c:v>
                </c:pt>
                <c:pt idx="42">
                  <c:v>117</c:v>
                </c:pt>
                <c:pt idx="43">
                  <c:v>121</c:v>
                </c:pt>
                <c:pt idx="44">
                  <c:v>106</c:v>
                </c:pt>
                <c:pt idx="45">
                  <c:v>90</c:v>
                </c:pt>
                <c:pt idx="46">
                  <c:v>72</c:v>
                </c:pt>
                <c:pt idx="47">
                  <c:v>81</c:v>
                </c:pt>
                <c:pt idx="48">
                  <c:v>90</c:v>
                </c:pt>
                <c:pt idx="49">
                  <c:v>70</c:v>
                </c:pt>
                <c:pt idx="50">
                  <c:v>73</c:v>
                </c:pt>
                <c:pt idx="51">
                  <c:v>80</c:v>
                </c:pt>
                <c:pt idx="52">
                  <c:v>62</c:v>
                </c:pt>
                <c:pt idx="53">
                  <c:v>44</c:v>
                </c:pt>
                <c:pt idx="54">
                  <c:v>54</c:v>
                </c:pt>
                <c:pt idx="55">
                  <c:v>79</c:v>
                </c:pt>
                <c:pt idx="56">
                  <c:v>81</c:v>
                </c:pt>
                <c:pt idx="57">
                  <c:v>93</c:v>
                </c:pt>
              </c:numCache>
            </c:numRef>
          </c:val>
          <c:smooth val="0"/>
        </c:ser>
        <c:dLbls>
          <c:showLegendKey val="0"/>
          <c:showVal val="0"/>
          <c:showCatName val="0"/>
          <c:showSerName val="0"/>
          <c:showPercent val="0"/>
          <c:showBubbleSize val="0"/>
        </c:dLbls>
        <c:marker val="1"/>
        <c:smooth val="0"/>
        <c:axId val="193934080"/>
        <c:axId val="193936000"/>
      </c:lineChart>
      <c:catAx>
        <c:axId val="193934080"/>
        <c:scaling>
          <c:orientation val="minMax"/>
        </c:scaling>
        <c:delete val="0"/>
        <c:axPos val="b"/>
        <c:majorTickMark val="out"/>
        <c:minorTickMark val="none"/>
        <c:tickLblPos val="nextTo"/>
        <c:txPr>
          <a:bodyPr/>
          <a:lstStyle/>
          <a:p>
            <a:pPr>
              <a:defRPr sz="800"/>
            </a:pPr>
            <a:endParaRPr lang="en-US"/>
          </a:p>
        </c:txPr>
        <c:crossAx val="193936000"/>
        <c:crosses val="autoZero"/>
        <c:auto val="1"/>
        <c:lblAlgn val="ctr"/>
        <c:lblOffset val="100"/>
        <c:noMultiLvlLbl val="0"/>
      </c:catAx>
      <c:valAx>
        <c:axId val="193936000"/>
        <c:scaling>
          <c:orientation val="minMax"/>
          <c:max val="400"/>
          <c:min val="-200"/>
        </c:scaling>
        <c:delete val="0"/>
        <c:axPos val="l"/>
        <c:majorGridlines/>
        <c:numFmt formatCode="0" sourceLinked="1"/>
        <c:majorTickMark val="out"/>
        <c:minorTickMark val="none"/>
        <c:tickLblPos val="nextTo"/>
        <c:txPr>
          <a:bodyPr/>
          <a:lstStyle/>
          <a:p>
            <a:pPr>
              <a:defRPr sz="1200"/>
            </a:pPr>
            <a:endParaRPr lang="en-US"/>
          </a:p>
        </c:txPr>
        <c:crossAx val="193934080"/>
        <c:crosses val="autoZero"/>
        <c:crossBetween val="between"/>
      </c:valAx>
      <c:spPr>
        <a:ln>
          <a:noFill/>
        </a:ln>
      </c:spPr>
    </c:plotArea>
    <c:legend>
      <c:legendPos val="t"/>
      <c:overlay val="0"/>
      <c:txPr>
        <a:bodyPr/>
        <a:lstStyle/>
        <a:p>
          <a:pPr>
            <a:defRPr sz="1400"/>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FF93C4-1A9C-4AF1-8D94-5B23970E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14</Pages>
  <Words>2809</Words>
  <Characters>16015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Middle Tennessee Consumer Confidence Index     December</vt:lpstr>
    </vt:vector>
  </TitlesOfParts>
  <Company>MTSU</Company>
  <LinksUpToDate>false</LinksUpToDate>
  <CharactersWithSpaces>18787</CharactersWithSpaces>
  <SharedDoc>false</SharedDoc>
  <HLinks>
    <vt:vector size="18" baseType="variant">
      <vt:variant>
        <vt:i4>5046350</vt:i4>
      </vt:variant>
      <vt:variant>
        <vt:i4>3</vt:i4>
      </vt:variant>
      <vt:variant>
        <vt:i4>0</vt:i4>
      </vt:variant>
      <vt:variant>
        <vt:i4>5</vt:i4>
      </vt:variant>
      <vt:variant>
        <vt:lpwstr>http://www.mtsu.edu/~consumer</vt:lpwstr>
      </vt:variant>
      <vt:variant>
        <vt:lpwstr/>
      </vt:variant>
      <vt:variant>
        <vt:i4>393295</vt:i4>
      </vt:variant>
      <vt:variant>
        <vt:i4>0</vt:i4>
      </vt:variant>
      <vt:variant>
        <vt:i4>0</vt:i4>
      </vt:variant>
      <vt:variant>
        <vt:i4>5</vt:i4>
      </vt:variant>
      <vt:variant>
        <vt:lpwstr>http://www.conference-board.org/</vt:lpwstr>
      </vt:variant>
      <vt:variant>
        <vt:lpwstr/>
      </vt:variant>
      <vt:variant>
        <vt:i4>1769545</vt:i4>
      </vt:variant>
      <vt:variant>
        <vt:i4>0</vt:i4>
      </vt:variant>
      <vt:variant>
        <vt:i4>0</vt:i4>
      </vt:variant>
      <vt:variant>
        <vt:i4>5</vt:i4>
      </vt:variant>
      <vt:variant>
        <vt:lpwstr>http://www.conference-board.com/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Tennessee Consumer Confidence Index     December</dc:title>
  <dc:creator>MTSU</dc:creator>
  <cp:lastModifiedBy>COB</cp:lastModifiedBy>
  <cp:revision>16</cp:revision>
  <cp:lastPrinted>2012-04-26T14:16:00Z</cp:lastPrinted>
  <dcterms:created xsi:type="dcterms:W3CDTF">2012-04-26T13:52:00Z</dcterms:created>
  <dcterms:modified xsi:type="dcterms:W3CDTF">2012-04-26T14:29:00Z</dcterms:modified>
</cp:coreProperties>
</file>